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A3E2F" w14:textId="0D8FAC2A" w:rsidR="007116C7" w:rsidRPr="00712B66" w:rsidRDefault="007116C7" w:rsidP="00DB7395">
      <w:pPr>
        <w:pStyle w:val="naisnod"/>
        <w:spacing w:before="0" w:after="0"/>
        <w:ind w:firstLine="720"/>
        <w:rPr>
          <w:sz w:val="28"/>
          <w:szCs w:val="28"/>
        </w:rPr>
      </w:pPr>
      <w:r w:rsidRPr="05FE3560">
        <w:rPr>
          <w:sz w:val="28"/>
          <w:szCs w:val="28"/>
        </w:rPr>
        <w:t>Izziņa par atzinumos sniegtajiem iebildumiem</w:t>
      </w:r>
      <w:r w:rsidR="006E4621" w:rsidRPr="05FE3560">
        <w:rPr>
          <w:sz w:val="28"/>
          <w:szCs w:val="28"/>
        </w:rPr>
        <w:t xml:space="preserve"> par </w:t>
      </w:r>
      <w:r w:rsidR="00465AB2" w:rsidRPr="05FE3560">
        <w:rPr>
          <w:sz w:val="28"/>
          <w:szCs w:val="28"/>
        </w:rPr>
        <w:t>plāna</w:t>
      </w:r>
      <w:r w:rsidR="006E4621" w:rsidRPr="05FE3560">
        <w:rPr>
          <w:sz w:val="28"/>
          <w:szCs w:val="28"/>
        </w:rPr>
        <w:t xml:space="preserve"> projektu</w:t>
      </w:r>
      <w:bookmarkStart w:id="0" w:name="_GoBack"/>
      <w:bookmarkEnd w:id="0"/>
    </w:p>
    <w:p w14:paraId="19D07A5A"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0CA67615" w14:textId="77777777">
        <w:trPr>
          <w:jc w:val="center"/>
        </w:trPr>
        <w:tc>
          <w:tcPr>
            <w:tcW w:w="10188" w:type="dxa"/>
            <w:tcBorders>
              <w:bottom w:val="single" w:sz="6" w:space="0" w:color="000000"/>
            </w:tcBorders>
          </w:tcPr>
          <w:p w14:paraId="6DF28A09" w14:textId="68603D95" w:rsidR="007116C7" w:rsidRPr="006E4621" w:rsidRDefault="006E4621" w:rsidP="00B57977">
            <w:pPr>
              <w:ind w:firstLine="720"/>
              <w:jc w:val="center"/>
              <w:rPr>
                <w:sz w:val="28"/>
                <w:szCs w:val="28"/>
              </w:rPr>
            </w:pPr>
            <w:r>
              <w:rPr>
                <w:sz w:val="28"/>
                <w:szCs w:val="28"/>
              </w:rPr>
              <w:t>"</w:t>
            </w:r>
            <w:r w:rsidRPr="006E4621">
              <w:rPr>
                <w:sz w:val="28"/>
                <w:szCs w:val="28"/>
              </w:rPr>
              <w:t xml:space="preserve">Publiskajā pārvaldē nodarbināto mācīšanās un attīstības </w:t>
            </w:r>
            <w:r w:rsidR="00B57977">
              <w:rPr>
                <w:sz w:val="28"/>
                <w:szCs w:val="28"/>
              </w:rPr>
              <w:t>plāns</w:t>
            </w:r>
            <w:r w:rsidRPr="006E4621">
              <w:rPr>
                <w:sz w:val="28"/>
                <w:szCs w:val="28"/>
              </w:rPr>
              <w:t xml:space="preserve"> 2021</w:t>
            </w:r>
            <w:r w:rsidR="00B57977">
              <w:rPr>
                <w:sz w:val="28"/>
                <w:szCs w:val="28"/>
              </w:rPr>
              <w:t>.</w:t>
            </w:r>
            <w:r w:rsidR="00B57977">
              <w:rPr>
                <w:sz w:val="28"/>
                <w:szCs w:val="28"/>
              </w:rPr>
              <w:noBreakHyphen/>
            </w:r>
            <w:r w:rsidRPr="006E4621">
              <w:rPr>
                <w:sz w:val="28"/>
                <w:szCs w:val="28"/>
              </w:rPr>
              <w:t>2027</w:t>
            </w:r>
            <w:r w:rsidR="00B57977">
              <w:rPr>
                <w:sz w:val="28"/>
                <w:szCs w:val="28"/>
              </w:rPr>
              <w:t>. gadam</w:t>
            </w:r>
            <w:r>
              <w:rPr>
                <w:sz w:val="28"/>
                <w:szCs w:val="28"/>
              </w:rPr>
              <w:t>"</w:t>
            </w:r>
          </w:p>
        </w:tc>
      </w:tr>
    </w:tbl>
    <w:p w14:paraId="690CAC03" w14:textId="77777777" w:rsidR="007116C7" w:rsidRPr="00712B66" w:rsidRDefault="007116C7" w:rsidP="009623BC">
      <w:pPr>
        <w:pStyle w:val="naisc"/>
        <w:spacing w:before="0" w:after="0"/>
        <w:ind w:firstLine="1080"/>
      </w:pPr>
      <w:r w:rsidRPr="00712B66">
        <w:t>(dokumenta veids un nosaukums)</w:t>
      </w:r>
    </w:p>
    <w:p w14:paraId="262FEB9F" w14:textId="77777777" w:rsidR="007B4C0F" w:rsidRPr="00712B66" w:rsidRDefault="007B4C0F" w:rsidP="00DB7395">
      <w:pPr>
        <w:pStyle w:val="naisf"/>
        <w:spacing w:before="0" w:after="0"/>
        <w:ind w:firstLine="720"/>
      </w:pPr>
    </w:p>
    <w:p w14:paraId="176F0842"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199C891F"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60019100"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25452622"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68D49ED8"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3FDEC306"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FEC8F00"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1136DA54"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0628E81" w14:textId="77777777" w:rsidR="005F4BFD" w:rsidRPr="00712B66" w:rsidRDefault="005F4BFD" w:rsidP="00364BB6">
            <w:pPr>
              <w:jc w:val="center"/>
            </w:pPr>
            <w:r w:rsidRPr="00712B66">
              <w:t>Projekta attiecīgā punkta (panta) galīgā redakcija</w:t>
            </w:r>
          </w:p>
        </w:tc>
      </w:tr>
      <w:tr w:rsidR="005F4BFD" w:rsidRPr="008A36C9" w14:paraId="703AF544" w14:textId="77777777">
        <w:tc>
          <w:tcPr>
            <w:tcW w:w="708" w:type="dxa"/>
            <w:tcBorders>
              <w:top w:val="single" w:sz="6" w:space="0" w:color="000000"/>
              <w:left w:val="single" w:sz="6" w:space="0" w:color="000000"/>
              <w:bottom w:val="single" w:sz="6" w:space="0" w:color="000000"/>
              <w:right w:val="single" w:sz="6" w:space="0" w:color="000000"/>
            </w:tcBorders>
          </w:tcPr>
          <w:p w14:paraId="3724984D"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1F38809"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46B66E60"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5FB5400D"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47671122"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58091A18" w14:textId="77777777" w:rsidR="005F4BFD" w:rsidRPr="008A36C9" w:rsidRDefault="008A36C9" w:rsidP="008A36C9">
            <w:pPr>
              <w:jc w:val="center"/>
              <w:rPr>
                <w:sz w:val="20"/>
                <w:szCs w:val="20"/>
              </w:rPr>
            </w:pPr>
            <w:r w:rsidRPr="008A36C9">
              <w:rPr>
                <w:sz w:val="20"/>
                <w:szCs w:val="20"/>
              </w:rPr>
              <w:t>6</w:t>
            </w:r>
          </w:p>
        </w:tc>
      </w:tr>
    </w:tbl>
    <w:p w14:paraId="11D33EF6" w14:textId="77777777" w:rsidR="007B4C0F" w:rsidRPr="00712B66" w:rsidRDefault="007B4C0F" w:rsidP="007B4C0F">
      <w:pPr>
        <w:pStyle w:val="naisf"/>
        <w:spacing w:before="0" w:after="0"/>
        <w:ind w:firstLine="0"/>
      </w:pPr>
    </w:p>
    <w:p w14:paraId="70231E42"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0E4CC157"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14:paraId="50A49076" w14:textId="77777777">
        <w:tc>
          <w:tcPr>
            <w:tcW w:w="6345" w:type="dxa"/>
          </w:tcPr>
          <w:p w14:paraId="31A1E7B8"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14:paraId="2B4351C4" w14:textId="287C2B37" w:rsidR="007B4C0F" w:rsidRPr="00712B66" w:rsidRDefault="00B73D01" w:rsidP="0036160E">
            <w:pPr>
              <w:pStyle w:val="NormalWeb"/>
              <w:spacing w:before="0" w:beforeAutospacing="0" w:after="0" w:afterAutospacing="0"/>
              <w:ind w:firstLine="720"/>
            </w:pPr>
            <w:r w:rsidRPr="000F7435">
              <w:t xml:space="preserve">2021. gada </w:t>
            </w:r>
            <w:r w:rsidR="000F7435" w:rsidRPr="000F7435">
              <w:t>12.</w:t>
            </w:r>
            <w:r w:rsidRPr="000F7435">
              <w:t> maijs – 2021. gada 1</w:t>
            </w:r>
            <w:r w:rsidR="000F7435" w:rsidRPr="000F7435">
              <w:t>8</w:t>
            </w:r>
            <w:r w:rsidRPr="000F7435">
              <w:t>. maijs</w:t>
            </w:r>
          </w:p>
        </w:tc>
      </w:tr>
      <w:tr w:rsidR="006658E1" w:rsidRPr="00712B66" w14:paraId="45215AAA" w14:textId="77777777">
        <w:tc>
          <w:tcPr>
            <w:tcW w:w="6345" w:type="dxa"/>
          </w:tcPr>
          <w:p w14:paraId="18241813" w14:textId="77777777" w:rsidR="006658E1" w:rsidRPr="00712B66" w:rsidRDefault="006658E1" w:rsidP="005D67F7">
            <w:pPr>
              <w:pStyle w:val="naisf"/>
              <w:spacing w:before="0" w:after="0"/>
              <w:ind w:firstLine="0"/>
            </w:pPr>
          </w:p>
        </w:tc>
        <w:tc>
          <w:tcPr>
            <w:tcW w:w="6237" w:type="dxa"/>
            <w:gridSpan w:val="2"/>
            <w:tcBorders>
              <w:bottom w:val="single" w:sz="4" w:space="0" w:color="auto"/>
            </w:tcBorders>
          </w:tcPr>
          <w:p w14:paraId="3BBC62A6" w14:textId="2316D6E2" w:rsidR="006658E1" w:rsidRPr="000F7435" w:rsidRDefault="001E486F" w:rsidP="0036160E">
            <w:pPr>
              <w:pStyle w:val="NormalWeb"/>
              <w:spacing w:before="0" w:beforeAutospacing="0" w:after="0" w:afterAutospacing="0"/>
              <w:ind w:firstLine="720"/>
            </w:pPr>
            <w:r>
              <w:t>2021. gada 28. maijs – 2021. gada 4</w:t>
            </w:r>
            <w:r w:rsidR="006658E1">
              <w:t>. jūnijs</w:t>
            </w:r>
          </w:p>
        </w:tc>
      </w:tr>
      <w:tr w:rsidR="003C27A2" w:rsidRPr="00712B66" w14:paraId="3453D76B" w14:textId="77777777">
        <w:tc>
          <w:tcPr>
            <w:tcW w:w="6345" w:type="dxa"/>
          </w:tcPr>
          <w:p w14:paraId="5446EAEA" w14:textId="77777777" w:rsidR="003C27A2" w:rsidRPr="00712B66" w:rsidRDefault="003C27A2" w:rsidP="007B4C0F">
            <w:pPr>
              <w:pStyle w:val="naisf"/>
              <w:spacing w:before="0" w:after="0"/>
              <w:ind w:firstLine="0"/>
            </w:pPr>
          </w:p>
        </w:tc>
        <w:tc>
          <w:tcPr>
            <w:tcW w:w="6237" w:type="dxa"/>
            <w:gridSpan w:val="2"/>
            <w:tcBorders>
              <w:top w:val="single" w:sz="4" w:space="0" w:color="auto"/>
            </w:tcBorders>
          </w:tcPr>
          <w:p w14:paraId="3FAEEA00" w14:textId="77777777" w:rsidR="003C27A2" w:rsidRPr="00712B66" w:rsidRDefault="003C27A2" w:rsidP="0036160E">
            <w:pPr>
              <w:pStyle w:val="NormalWeb"/>
              <w:spacing w:before="0" w:beforeAutospacing="0" w:after="0" w:afterAutospacing="0"/>
              <w:ind w:firstLine="720"/>
            </w:pPr>
          </w:p>
        </w:tc>
      </w:tr>
      <w:tr w:rsidR="007B4C0F" w:rsidRPr="00712B66" w14:paraId="632F02D6" w14:textId="77777777">
        <w:tc>
          <w:tcPr>
            <w:tcW w:w="6345" w:type="dxa"/>
          </w:tcPr>
          <w:p w14:paraId="0F7C0069" w14:textId="77777777" w:rsidR="007B4C0F" w:rsidRPr="00712B66" w:rsidRDefault="00365CC0" w:rsidP="003C27A2">
            <w:pPr>
              <w:pStyle w:val="naiskr"/>
              <w:spacing w:before="0" w:after="0"/>
            </w:pPr>
            <w:r>
              <w:t>Saskaņošanas d</w:t>
            </w:r>
            <w:r w:rsidRPr="00712B66">
              <w:t>alībnieki</w:t>
            </w:r>
          </w:p>
        </w:tc>
        <w:tc>
          <w:tcPr>
            <w:tcW w:w="6237" w:type="dxa"/>
            <w:gridSpan w:val="2"/>
          </w:tcPr>
          <w:p w14:paraId="23287C23" w14:textId="77777777" w:rsidR="007B4C0F" w:rsidRPr="00712B66" w:rsidRDefault="00D60B0F" w:rsidP="00D60B0F">
            <w:pPr>
              <w:pStyle w:val="NormalWeb"/>
              <w:spacing w:before="0" w:beforeAutospacing="0" w:after="0" w:afterAutospacing="0"/>
            </w:pPr>
            <w:r>
              <w:t xml:space="preserve">Tieslietu ministrija, Finanšu ministrija, Aizsardzības </w:t>
            </w:r>
          </w:p>
        </w:tc>
      </w:tr>
      <w:tr w:rsidR="007B4C0F" w:rsidRPr="00712B66" w14:paraId="178CE722" w14:textId="77777777">
        <w:tc>
          <w:tcPr>
            <w:tcW w:w="6345" w:type="dxa"/>
          </w:tcPr>
          <w:p w14:paraId="1D8CA775" w14:textId="77777777" w:rsidR="007B4C0F" w:rsidRPr="00712B66" w:rsidRDefault="007B4C0F" w:rsidP="0036160E">
            <w:pPr>
              <w:pStyle w:val="naiskr"/>
              <w:spacing w:before="0" w:after="0"/>
              <w:ind w:firstLine="720"/>
            </w:pPr>
            <w:r w:rsidRPr="00712B66">
              <w:t>  </w:t>
            </w:r>
          </w:p>
        </w:tc>
        <w:tc>
          <w:tcPr>
            <w:tcW w:w="6237" w:type="dxa"/>
            <w:gridSpan w:val="2"/>
            <w:tcBorders>
              <w:top w:val="single" w:sz="6" w:space="0" w:color="000000"/>
              <w:bottom w:val="single" w:sz="6" w:space="0" w:color="000000"/>
            </w:tcBorders>
          </w:tcPr>
          <w:p w14:paraId="3800F392" w14:textId="77777777" w:rsidR="007B4C0F" w:rsidRPr="00712B66" w:rsidRDefault="00D60B0F" w:rsidP="00D60B0F">
            <w:pPr>
              <w:pStyle w:val="naiskr"/>
              <w:spacing w:before="0" w:after="0"/>
            </w:pPr>
            <w:r>
              <w:t>ministrija</w:t>
            </w:r>
            <w:r w:rsidRPr="00D60B0F">
              <w:t>,</w:t>
            </w:r>
            <w:r>
              <w:t xml:space="preserve"> Ārlietu ministrija, Ekonomikas ministrija</w:t>
            </w:r>
            <w:r w:rsidRPr="00D60B0F">
              <w:t xml:space="preserve">, Iekšlietu </w:t>
            </w:r>
          </w:p>
        </w:tc>
      </w:tr>
      <w:tr w:rsidR="00D60B0F" w:rsidRPr="00712B66" w14:paraId="746D349B" w14:textId="77777777">
        <w:tc>
          <w:tcPr>
            <w:tcW w:w="6345" w:type="dxa"/>
          </w:tcPr>
          <w:p w14:paraId="138BB495" w14:textId="77777777" w:rsidR="00D60B0F" w:rsidRPr="00712B66" w:rsidRDefault="00D60B0F" w:rsidP="0036160E">
            <w:pPr>
              <w:pStyle w:val="naiskr"/>
              <w:spacing w:before="0" w:after="0"/>
              <w:ind w:firstLine="720"/>
            </w:pPr>
          </w:p>
        </w:tc>
        <w:tc>
          <w:tcPr>
            <w:tcW w:w="6237" w:type="dxa"/>
            <w:gridSpan w:val="2"/>
            <w:tcBorders>
              <w:top w:val="single" w:sz="6" w:space="0" w:color="000000"/>
              <w:bottom w:val="single" w:sz="6" w:space="0" w:color="000000"/>
            </w:tcBorders>
          </w:tcPr>
          <w:p w14:paraId="719B7891" w14:textId="77777777" w:rsidR="00D60B0F" w:rsidRDefault="00D60B0F" w:rsidP="00D60B0F">
            <w:pPr>
              <w:pStyle w:val="naiskr"/>
              <w:spacing w:before="0" w:after="0"/>
            </w:pPr>
            <w:r w:rsidRPr="00D60B0F">
              <w:t>ministri</w:t>
            </w:r>
            <w:r>
              <w:t>ja</w:t>
            </w:r>
            <w:r w:rsidRPr="00D60B0F">
              <w:t>,</w:t>
            </w:r>
            <w:r>
              <w:t xml:space="preserve"> </w:t>
            </w:r>
            <w:r w:rsidRPr="00767B0A">
              <w:rPr>
                <w:color w:val="2A2A2A"/>
              </w:rPr>
              <w:t>I</w:t>
            </w:r>
            <w:r>
              <w:rPr>
                <w:color w:val="2A2A2A"/>
              </w:rPr>
              <w:t>zglītības un zinātnes ministrija</w:t>
            </w:r>
            <w:r w:rsidRPr="00767B0A">
              <w:rPr>
                <w:color w:val="2A2A2A"/>
              </w:rPr>
              <w:t xml:space="preserve">, Kultūras </w:t>
            </w:r>
          </w:p>
        </w:tc>
      </w:tr>
      <w:tr w:rsidR="00D60B0F" w:rsidRPr="00712B66" w14:paraId="1A5D59D7" w14:textId="77777777">
        <w:tc>
          <w:tcPr>
            <w:tcW w:w="6345" w:type="dxa"/>
          </w:tcPr>
          <w:p w14:paraId="1C8807BC" w14:textId="77777777" w:rsidR="00D60B0F" w:rsidRPr="00712B66" w:rsidRDefault="00D60B0F" w:rsidP="0036160E">
            <w:pPr>
              <w:pStyle w:val="naiskr"/>
              <w:spacing w:before="0" w:after="0"/>
              <w:ind w:firstLine="720"/>
            </w:pPr>
          </w:p>
        </w:tc>
        <w:tc>
          <w:tcPr>
            <w:tcW w:w="6237" w:type="dxa"/>
            <w:gridSpan w:val="2"/>
            <w:tcBorders>
              <w:top w:val="single" w:sz="6" w:space="0" w:color="000000"/>
              <w:bottom w:val="single" w:sz="6" w:space="0" w:color="000000"/>
            </w:tcBorders>
          </w:tcPr>
          <w:p w14:paraId="299D80A7" w14:textId="77777777" w:rsidR="00D60B0F" w:rsidRPr="00D60B0F" w:rsidRDefault="00D60B0F" w:rsidP="00D60B0F">
            <w:pPr>
              <w:pStyle w:val="naiskr"/>
              <w:spacing w:before="0" w:after="0"/>
            </w:pPr>
            <w:r>
              <w:rPr>
                <w:color w:val="2A2A2A"/>
              </w:rPr>
              <w:t>ministrija</w:t>
            </w:r>
            <w:r w:rsidRPr="00767B0A">
              <w:rPr>
                <w:color w:val="2A2A2A"/>
              </w:rPr>
              <w:t>,</w:t>
            </w:r>
            <w:r>
              <w:rPr>
                <w:color w:val="2A2A2A"/>
              </w:rPr>
              <w:t xml:space="preserve"> Labklājības ministrija, Satiksmes ministrija</w:t>
            </w:r>
            <w:r w:rsidRPr="00D60B0F">
              <w:rPr>
                <w:color w:val="2A2A2A"/>
              </w:rPr>
              <w:t xml:space="preserve">, Vides </w:t>
            </w:r>
          </w:p>
        </w:tc>
      </w:tr>
      <w:tr w:rsidR="00D60B0F" w:rsidRPr="00712B66" w14:paraId="4B03CC18" w14:textId="77777777">
        <w:tc>
          <w:tcPr>
            <w:tcW w:w="6345" w:type="dxa"/>
          </w:tcPr>
          <w:p w14:paraId="0A4C5869" w14:textId="77777777" w:rsidR="00D60B0F" w:rsidRPr="00712B66" w:rsidRDefault="00D60B0F" w:rsidP="0036160E">
            <w:pPr>
              <w:pStyle w:val="naiskr"/>
              <w:spacing w:before="0" w:after="0"/>
              <w:ind w:firstLine="720"/>
            </w:pPr>
          </w:p>
        </w:tc>
        <w:tc>
          <w:tcPr>
            <w:tcW w:w="6237" w:type="dxa"/>
            <w:gridSpan w:val="2"/>
            <w:tcBorders>
              <w:top w:val="single" w:sz="6" w:space="0" w:color="000000"/>
              <w:bottom w:val="single" w:sz="6" w:space="0" w:color="000000"/>
            </w:tcBorders>
          </w:tcPr>
          <w:p w14:paraId="2DE87CAD" w14:textId="77777777" w:rsidR="00D60B0F" w:rsidRDefault="00D60B0F" w:rsidP="00D60B0F">
            <w:pPr>
              <w:pStyle w:val="naiskr"/>
              <w:spacing w:before="0" w:after="0"/>
              <w:rPr>
                <w:color w:val="2A2A2A"/>
              </w:rPr>
            </w:pPr>
            <w:r w:rsidRPr="00D60B0F">
              <w:rPr>
                <w:color w:val="2A2A2A"/>
              </w:rPr>
              <w:t>aizsardzības un</w:t>
            </w:r>
            <w:r>
              <w:rPr>
                <w:color w:val="2A2A2A"/>
              </w:rPr>
              <w:t xml:space="preserve"> </w:t>
            </w:r>
            <w:r w:rsidRPr="00D60B0F">
              <w:rPr>
                <w:color w:val="2A2A2A"/>
              </w:rPr>
              <w:t>reģionālās attīstības ministrij</w:t>
            </w:r>
            <w:r>
              <w:rPr>
                <w:color w:val="2A2A2A"/>
              </w:rPr>
              <w:t>a</w:t>
            </w:r>
            <w:r w:rsidRPr="00D60B0F">
              <w:rPr>
                <w:color w:val="2A2A2A"/>
              </w:rPr>
              <w:t xml:space="preserve">, Zemkopības </w:t>
            </w:r>
          </w:p>
        </w:tc>
      </w:tr>
      <w:tr w:rsidR="00D60B0F" w:rsidRPr="00712B66" w14:paraId="0EAE4746" w14:textId="77777777">
        <w:tc>
          <w:tcPr>
            <w:tcW w:w="6345" w:type="dxa"/>
          </w:tcPr>
          <w:p w14:paraId="6BB986FD" w14:textId="77777777" w:rsidR="00D60B0F" w:rsidRPr="00712B66" w:rsidRDefault="00D60B0F" w:rsidP="0036160E">
            <w:pPr>
              <w:pStyle w:val="naiskr"/>
              <w:spacing w:before="0" w:after="0"/>
              <w:ind w:firstLine="720"/>
            </w:pPr>
          </w:p>
        </w:tc>
        <w:tc>
          <w:tcPr>
            <w:tcW w:w="6237" w:type="dxa"/>
            <w:gridSpan w:val="2"/>
            <w:tcBorders>
              <w:top w:val="single" w:sz="6" w:space="0" w:color="000000"/>
              <w:bottom w:val="single" w:sz="6" w:space="0" w:color="000000"/>
            </w:tcBorders>
          </w:tcPr>
          <w:p w14:paraId="477C82AF" w14:textId="77777777" w:rsidR="00D60B0F" w:rsidRPr="00D60B0F" w:rsidRDefault="00D60B0F" w:rsidP="00D60B0F">
            <w:pPr>
              <w:pStyle w:val="naiskr"/>
              <w:spacing w:before="0" w:after="0"/>
              <w:rPr>
                <w:color w:val="2A2A2A"/>
              </w:rPr>
            </w:pPr>
            <w:r>
              <w:rPr>
                <w:color w:val="2A2A2A"/>
              </w:rPr>
              <w:t>ministrija</w:t>
            </w:r>
            <w:r w:rsidRPr="00D60B0F">
              <w:rPr>
                <w:color w:val="2A2A2A"/>
              </w:rPr>
              <w:t>,</w:t>
            </w:r>
            <w:r>
              <w:rPr>
                <w:color w:val="2A2A2A"/>
              </w:rPr>
              <w:t xml:space="preserve"> Pārresoru koordinācijas centrs</w:t>
            </w:r>
            <w:r w:rsidRPr="00D60B0F">
              <w:rPr>
                <w:color w:val="2A2A2A"/>
              </w:rPr>
              <w:t xml:space="preserve">, Latvijas Pašvaldību </w:t>
            </w:r>
          </w:p>
        </w:tc>
      </w:tr>
      <w:tr w:rsidR="00D60B0F" w:rsidRPr="00712B66" w14:paraId="03FBDE0C" w14:textId="77777777">
        <w:tc>
          <w:tcPr>
            <w:tcW w:w="6345" w:type="dxa"/>
          </w:tcPr>
          <w:p w14:paraId="4EF0F7C9" w14:textId="77777777" w:rsidR="00D60B0F" w:rsidRPr="00712B66" w:rsidRDefault="00D60B0F" w:rsidP="0036160E">
            <w:pPr>
              <w:pStyle w:val="naiskr"/>
              <w:spacing w:before="0" w:after="0"/>
              <w:ind w:firstLine="720"/>
            </w:pPr>
          </w:p>
        </w:tc>
        <w:tc>
          <w:tcPr>
            <w:tcW w:w="6237" w:type="dxa"/>
            <w:gridSpan w:val="2"/>
            <w:tcBorders>
              <w:top w:val="single" w:sz="6" w:space="0" w:color="000000"/>
              <w:bottom w:val="single" w:sz="6" w:space="0" w:color="000000"/>
            </w:tcBorders>
          </w:tcPr>
          <w:p w14:paraId="0D5EAC12" w14:textId="77777777" w:rsidR="00D60B0F" w:rsidRPr="00D60B0F" w:rsidRDefault="00D60B0F" w:rsidP="00D60B0F">
            <w:pPr>
              <w:pStyle w:val="naiskr"/>
              <w:spacing w:before="0" w:after="0"/>
              <w:rPr>
                <w:color w:val="2A2A2A"/>
              </w:rPr>
            </w:pPr>
            <w:r>
              <w:rPr>
                <w:color w:val="2A2A2A"/>
              </w:rPr>
              <w:t>savienība</w:t>
            </w:r>
            <w:r w:rsidRPr="00D60B0F">
              <w:rPr>
                <w:color w:val="2A2A2A"/>
              </w:rPr>
              <w:t>,</w:t>
            </w:r>
            <w:r>
              <w:rPr>
                <w:color w:val="2A2A2A"/>
              </w:rPr>
              <w:t xml:space="preserve"> </w:t>
            </w:r>
            <w:r w:rsidRPr="00D60B0F">
              <w:rPr>
                <w:color w:val="2A2A2A"/>
              </w:rPr>
              <w:t xml:space="preserve">Korupcijas </w:t>
            </w:r>
            <w:r>
              <w:rPr>
                <w:color w:val="2A2A2A"/>
              </w:rPr>
              <w:t>novēršanas un apkarošanas birojs</w:t>
            </w:r>
            <w:r w:rsidRPr="00D60B0F">
              <w:rPr>
                <w:color w:val="2A2A2A"/>
              </w:rPr>
              <w:t xml:space="preserve">, </w:t>
            </w:r>
          </w:p>
        </w:tc>
      </w:tr>
      <w:tr w:rsidR="00D60B0F" w:rsidRPr="00712B66" w14:paraId="7D2B2AEE" w14:textId="77777777">
        <w:tc>
          <w:tcPr>
            <w:tcW w:w="6345" w:type="dxa"/>
          </w:tcPr>
          <w:p w14:paraId="70822BFA" w14:textId="77777777" w:rsidR="00D60B0F" w:rsidRPr="00712B66" w:rsidRDefault="00D60B0F" w:rsidP="0036160E">
            <w:pPr>
              <w:pStyle w:val="naiskr"/>
              <w:spacing w:before="0" w:after="0"/>
              <w:ind w:firstLine="720"/>
            </w:pPr>
          </w:p>
        </w:tc>
        <w:tc>
          <w:tcPr>
            <w:tcW w:w="6237" w:type="dxa"/>
            <w:gridSpan w:val="2"/>
            <w:tcBorders>
              <w:top w:val="single" w:sz="6" w:space="0" w:color="000000"/>
              <w:bottom w:val="single" w:sz="6" w:space="0" w:color="000000"/>
            </w:tcBorders>
          </w:tcPr>
          <w:p w14:paraId="4CDE09CF" w14:textId="77777777" w:rsidR="00D60B0F" w:rsidRPr="00D60B0F" w:rsidRDefault="00D60B0F" w:rsidP="00D60B0F">
            <w:pPr>
              <w:pStyle w:val="naiskr"/>
              <w:spacing w:before="0" w:after="0"/>
              <w:rPr>
                <w:color w:val="2A2A2A"/>
              </w:rPr>
            </w:pPr>
            <w:r w:rsidRPr="00D60B0F">
              <w:rPr>
                <w:color w:val="2A2A2A"/>
              </w:rPr>
              <w:t>Latvijas Brīvo</w:t>
            </w:r>
            <w:r>
              <w:rPr>
                <w:color w:val="2A2A2A"/>
              </w:rPr>
              <w:t xml:space="preserve"> arodbiedrību savienība, </w:t>
            </w:r>
            <w:r w:rsidRPr="00D60B0F">
              <w:rPr>
                <w:color w:val="2A2A2A"/>
              </w:rPr>
              <w:t>Lat</w:t>
            </w:r>
            <w:r>
              <w:rPr>
                <w:color w:val="2A2A2A"/>
              </w:rPr>
              <w:t xml:space="preserve">vijas Darba devēju </w:t>
            </w:r>
          </w:p>
        </w:tc>
      </w:tr>
      <w:tr w:rsidR="00D60B0F" w:rsidRPr="00712B66" w14:paraId="57DD5244" w14:textId="77777777">
        <w:tc>
          <w:tcPr>
            <w:tcW w:w="6345" w:type="dxa"/>
          </w:tcPr>
          <w:p w14:paraId="7C1AD967" w14:textId="77777777" w:rsidR="00D60B0F" w:rsidRPr="00712B66" w:rsidRDefault="00D60B0F" w:rsidP="0036160E">
            <w:pPr>
              <w:pStyle w:val="naiskr"/>
              <w:spacing w:before="0" w:after="0"/>
              <w:ind w:firstLine="720"/>
            </w:pPr>
          </w:p>
        </w:tc>
        <w:tc>
          <w:tcPr>
            <w:tcW w:w="6237" w:type="dxa"/>
            <w:gridSpan w:val="2"/>
            <w:tcBorders>
              <w:top w:val="single" w:sz="6" w:space="0" w:color="000000"/>
              <w:bottom w:val="single" w:sz="6" w:space="0" w:color="000000"/>
            </w:tcBorders>
          </w:tcPr>
          <w:p w14:paraId="2D1348D1" w14:textId="77777777" w:rsidR="00D60B0F" w:rsidRPr="00D60B0F" w:rsidRDefault="00D60B0F" w:rsidP="00D60B0F">
            <w:pPr>
              <w:pStyle w:val="naiskr"/>
              <w:spacing w:before="0" w:after="0"/>
              <w:rPr>
                <w:color w:val="2A2A2A"/>
              </w:rPr>
            </w:pPr>
            <w:r>
              <w:rPr>
                <w:color w:val="2A2A2A"/>
              </w:rPr>
              <w:t xml:space="preserve">konfederācija un </w:t>
            </w:r>
            <w:r w:rsidRPr="00767B0A">
              <w:rPr>
                <w:color w:val="2A2A2A"/>
              </w:rPr>
              <w:t>Sabiedriskās politikas centrs PROVIDUS</w:t>
            </w:r>
            <w:r>
              <w:rPr>
                <w:color w:val="2A2A2A"/>
              </w:rPr>
              <w:t>.</w:t>
            </w:r>
          </w:p>
        </w:tc>
      </w:tr>
      <w:tr w:rsidR="000D0AED" w:rsidRPr="00712B66" w14:paraId="1EA8BA56" w14:textId="77777777">
        <w:trPr>
          <w:trHeight w:val="285"/>
        </w:trPr>
        <w:tc>
          <w:tcPr>
            <w:tcW w:w="6345" w:type="dxa"/>
          </w:tcPr>
          <w:p w14:paraId="60A9DA76" w14:textId="77777777" w:rsidR="000D0AED" w:rsidRPr="00712B66" w:rsidRDefault="000D0AED" w:rsidP="000D0AED">
            <w:pPr>
              <w:pStyle w:val="naiskr"/>
              <w:spacing w:before="0" w:after="0"/>
            </w:pPr>
          </w:p>
        </w:tc>
        <w:tc>
          <w:tcPr>
            <w:tcW w:w="1203" w:type="dxa"/>
          </w:tcPr>
          <w:p w14:paraId="6F2EBFF3" w14:textId="77777777" w:rsidR="000D0AED" w:rsidRPr="00712B66" w:rsidRDefault="000D0AED" w:rsidP="0036160E">
            <w:pPr>
              <w:pStyle w:val="naiskr"/>
              <w:spacing w:before="0" w:after="0"/>
              <w:ind w:firstLine="720"/>
            </w:pPr>
          </w:p>
        </w:tc>
        <w:tc>
          <w:tcPr>
            <w:tcW w:w="5034" w:type="dxa"/>
          </w:tcPr>
          <w:p w14:paraId="6F86BA5F" w14:textId="77777777" w:rsidR="000D0AED" w:rsidRPr="00712B66" w:rsidRDefault="000D0AED" w:rsidP="0036160E">
            <w:pPr>
              <w:pStyle w:val="naiskr"/>
              <w:spacing w:before="0" w:after="0"/>
              <w:ind w:firstLine="12"/>
            </w:pPr>
          </w:p>
        </w:tc>
      </w:tr>
    </w:tbl>
    <w:p w14:paraId="4A013767" w14:textId="4248C04F" w:rsidR="008A36C9" w:rsidRDefault="008A36C9"/>
    <w:tbl>
      <w:tblPr>
        <w:tblW w:w="12582" w:type="dxa"/>
        <w:tblLook w:val="00A0" w:firstRow="1" w:lastRow="0" w:firstColumn="1" w:lastColumn="0" w:noHBand="0" w:noVBand="0"/>
      </w:tblPr>
      <w:tblGrid>
        <w:gridCol w:w="6708"/>
        <w:gridCol w:w="840"/>
        <w:gridCol w:w="5034"/>
      </w:tblGrid>
      <w:tr w:rsidR="007B4C0F" w:rsidRPr="00712B66" w14:paraId="48CD793D" w14:textId="77777777">
        <w:trPr>
          <w:trHeight w:val="285"/>
        </w:trPr>
        <w:tc>
          <w:tcPr>
            <w:tcW w:w="6708" w:type="dxa"/>
          </w:tcPr>
          <w:p w14:paraId="2BB7532B" w14:textId="77777777" w:rsidR="007B4C0F" w:rsidRPr="00712B66" w:rsidRDefault="00365CC0" w:rsidP="000D0AED">
            <w:pPr>
              <w:pStyle w:val="naiskr"/>
              <w:spacing w:before="0" w:after="0"/>
            </w:pPr>
            <w:r>
              <w:lastRenderedPageBreak/>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Pr>
          <w:p w14:paraId="32FE6FEA" w14:textId="77777777" w:rsidR="007B4C0F" w:rsidRPr="00712B66" w:rsidRDefault="007B4C0F" w:rsidP="0036160E">
            <w:pPr>
              <w:pStyle w:val="naiskr"/>
              <w:spacing w:before="0" w:after="0"/>
              <w:ind w:firstLine="720"/>
            </w:pPr>
          </w:p>
        </w:tc>
        <w:tc>
          <w:tcPr>
            <w:tcW w:w="5034" w:type="dxa"/>
          </w:tcPr>
          <w:p w14:paraId="66182EEF" w14:textId="77777777" w:rsidR="007B4C0F" w:rsidRPr="00712B66" w:rsidRDefault="007B4C0F" w:rsidP="0036160E">
            <w:pPr>
              <w:pStyle w:val="naiskr"/>
              <w:spacing w:before="0" w:after="0"/>
              <w:ind w:firstLine="12"/>
            </w:pPr>
          </w:p>
        </w:tc>
      </w:tr>
      <w:tr w:rsidR="003C27A2" w:rsidRPr="00712B66" w14:paraId="1399B16E" w14:textId="77777777" w:rsidTr="00414616">
        <w:trPr>
          <w:trHeight w:val="285"/>
        </w:trPr>
        <w:tc>
          <w:tcPr>
            <w:tcW w:w="6708" w:type="dxa"/>
          </w:tcPr>
          <w:p w14:paraId="0DB10104" w14:textId="77777777" w:rsidR="003C27A2" w:rsidRPr="00712B66" w:rsidRDefault="003C27A2"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5A80A07D" w14:textId="77777777" w:rsidR="003C27A2" w:rsidRPr="00712B66" w:rsidRDefault="00414616" w:rsidP="00414616">
            <w:pPr>
              <w:pStyle w:val="NormalWeb"/>
              <w:spacing w:before="0" w:beforeAutospacing="0" w:after="0" w:afterAutospacing="0"/>
            </w:pPr>
            <w:r>
              <w:t>Finanšu ministrijas, Aizsardzības ministrijas, Tieslietu</w:t>
            </w:r>
          </w:p>
        </w:tc>
      </w:tr>
      <w:tr w:rsidR="00414616" w:rsidRPr="00712B66" w14:paraId="0953CB83" w14:textId="77777777" w:rsidTr="00414616">
        <w:trPr>
          <w:trHeight w:val="274"/>
        </w:trPr>
        <w:tc>
          <w:tcPr>
            <w:tcW w:w="6708" w:type="dxa"/>
          </w:tcPr>
          <w:p w14:paraId="0A389085" w14:textId="77777777" w:rsidR="00414616" w:rsidRPr="00712B66" w:rsidRDefault="00414616" w:rsidP="0036160E">
            <w:pPr>
              <w:pStyle w:val="naiskr"/>
              <w:spacing w:before="0" w:after="0"/>
              <w:ind w:firstLine="720"/>
            </w:pPr>
          </w:p>
        </w:tc>
        <w:tc>
          <w:tcPr>
            <w:tcW w:w="5874" w:type="dxa"/>
            <w:gridSpan w:val="2"/>
            <w:tcBorders>
              <w:top w:val="single" w:sz="6" w:space="0" w:color="000000"/>
              <w:bottom w:val="single" w:sz="6" w:space="0" w:color="000000"/>
            </w:tcBorders>
          </w:tcPr>
          <w:p w14:paraId="370D03B3" w14:textId="77777777" w:rsidR="00414616" w:rsidRDefault="00414616" w:rsidP="00414616">
            <w:pPr>
              <w:pStyle w:val="NormalWeb"/>
              <w:spacing w:before="0" w:beforeAutospacing="0" w:after="0" w:afterAutospacing="0"/>
            </w:pPr>
            <w:r>
              <w:t>ministrijas, Zemkopības ministrijas, Labklājības</w:t>
            </w:r>
          </w:p>
        </w:tc>
      </w:tr>
      <w:tr w:rsidR="00414616" w:rsidRPr="00712B66" w14:paraId="1E3773B2" w14:textId="77777777" w:rsidTr="00414616">
        <w:trPr>
          <w:trHeight w:val="274"/>
        </w:trPr>
        <w:tc>
          <w:tcPr>
            <w:tcW w:w="6708" w:type="dxa"/>
          </w:tcPr>
          <w:p w14:paraId="6EB32020" w14:textId="77777777" w:rsidR="00414616" w:rsidRPr="00712B66" w:rsidRDefault="00414616" w:rsidP="0036160E">
            <w:pPr>
              <w:pStyle w:val="naiskr"/>
              <w:spacing w:before="0" w:after="0"/>
              <w:ind w:firstLine="720"/>
            </w:pPr>
          </w:p>
        </w:tc>
        <w:tc>
          <w:tcPr>
            <w:tcW w:w="5874" w:type="dxa"/>
            <w:gridSpan w:val="2"/>
            <w:tcBorders>
              <w:top w:val="single" w:sz="6" w:space="0" w:color="000000"/>
              <w:bottom w:val="single" w:sz="6" w:space="0" w:color="000000"/>
            </w:tcBorders>
          </w:tcPr>
          <w:p w14:paraId="68E46D06" w14:textId="77777777" w:rsidR="00414616" w:rsidRDefault="00414616" w:rsidP="00414616">
            <w:pPr>
              <w:pStyle w:val="NormalWeb"/>
              <w:spacing w:before="0" w:beforeAutospacing="0" w:after="0" w:afterAutospacing="0"/>
            </w:pPr>
            <w:r>
              <w:t xml:space="preserve">ministrijas, Vides aizsardzības un reģionālās attīstības </w:t>
            </w:r>
          </w:p>
        </w:tc>
      </w:tr>
      <w:tr w:rsidR="00414616" w:rsidRPr="00712B66" w14:paraId="5C0C68E2" w14:textId="77777777" w:rsidTr="00414616">
        <w:trPr>
          <w:trHeight w:val="274"/>
        </w:trPr>
        <w:tc>
          <w:tcPr>
            <w:tcW w:w="6708" w:type="dxa"/>
          </w:tcPr>
          <w:p w14:paraId="505E3873" w14:textId="77777777" w:rsidR="00414616" w:rsidRPr="00712B66" w:rsidRDefault="00414616" w:rsidP="0036160E">
            <w:pPr>
              <w:pStyle w:val="naiskr"/>
              <w:spacing w:before="0" w:after="0"/>
              <w:ind w:firstLine="720"/>
            </w:pPr>
          </w:p>
        </w:tc>
        <w:tc>
          <w:tcPr>
            <w:tcW w:w="5874" w:type="dxa"/>
            <w:gridSpan w:val="2"/>
            <w:tcBorders>
              <w:top w:val="single" w:sz="6" w:space="0" w:color="000000"/>
              <w:bottom w:val="single" w:sz="6" w:space="0" w:color="000000"/>
            </w:tcBorders>
          </w:tcPr>
          <w:p w14:paraId="49A863E0" w14:textId="6A6C295F" w:rsidR="00414616" w:rsidRDefault="00B01666" w:rsidP="00B01666">
            <w:pPr>
              <w:pStyle w:val="NormalWeb"/>
              <w:spacing w:before="0" w:beforeAutospacing="0" w:after="0" w:afterAutospacing="0"/>
            </w:pPr>
            <w:r>
              <w:t>m</w:t>
            </w:r>
            <w:r w:rsidR="00414616">
              <w:t>inistrijas</w:t>
            </w:r>
            <w:r>
              <w:t xml:space="preserve">, Pārresoru koordinācijas centra, </w:t>
            </w:r>
          </w:p>
        </w:tc>
      </w:tr>
      <w:tr w:rsidR="00B01666" w:rsidRPr="00712B66" w14:paraId="74C970C0" w14:textId="77777777" w:rsidTr="00414616">
        <w:trPr>
          <w:trHeight w:val="274"/>
        </w:trPr>
        <w:tc>
          <w:tcPr>
            <w:tcW w:w="6708" w:type="dxa"/>
          </w:tcPr>
          <w:p w14:paraId="406576B7" w14:textId="77777777" w:rsidR="00B01666" w:rsidRPr="00712B66" w:rsidRDefault="00B01666" w:rsidP="0036160E">
            <w:pPr>
              <w:pStyle w:val="naiskr"/>
              <w:spacing w:before="0" w:after="0"/>
              <w:ind w:firstLine="720"/>
            </w:pPr>
          </w:p>
        </w:tc>
        <w:tc>
          <w:tcPr>
            <w:tcW w:w="5874" w:type="dxa"/>
            <w:gridSpan w:val="2"/>
            <w:tcBorders>
              <w:top w:val="single" w:sz="6" w:space="0" w:color="000000"/>
              <w:bottom w:val="single" w:sz="6" w:space="0" w:color="000000"/>
            </w:tcBorders>
          </w:tcPr>
          <w:p w14:paraId="0F882393" w14:textId="1A0EC88B" w:rsidR="00B01666" w:rsidRDefault="00B01666" w:rsidP="00B01666">
            <w:pPr>
              <w:pStyle w:val="NormalWeb"/>
              <w:spacing w:before="0" w:beforeAutospacing="0" w:after="0" w:afterAutospacing="0"/>
            </w:pPr>
            <w:r>
              <w:t xml:space="preserve">Latvijas Pašvaldību savienības, Korupcijas novēršanas un </w:t>
            </w:r>
          </w:p>
        </w:tc>
      </w:tr>
      <w:tr w:rsidR="00B01666" w:rsidRPr="00712B66" w14:paraId="7B36EC4A" w14:textId="77777777" w:rsidTr="00414616">
        <w:trPr>
          <w:trHeight w:val="274"/>
        </w:trPr>
        <w:tc>
          <w:tcPr>
            <w:tcW w:w="6708" w:type="dxa"/>
          </w:tcPr>
          <w:p w14:paraId="26FE6CCE" w14:textId="77777777" w:rsidR="00B01666" w:rsidRDefault="00B01666" w:rsidP="0036160E">
            <w:pPr>
              <w:pStyle w:val="naiskr"/>
              <w:spacing w:before="0" w:after="0"/>
              <w:ind w:firstLine="720"/>
            </w:pPr>
          </w:p>
        </w:tc>
        <w:tc>
          <w:tcPr>
            <w:tcW w:w="5874" w:type="dxa"/>
            <w:gridSpan w:val="2"/>
            <w:tcBorders>
              <w:top w:val="single" w:sz="6" w:space="0" w:color="000000"/>
              <w:bottom w:val="single" w:sz="6" w:space="0" w:color="000000"/>
            </w:tcBorders>
          </w:tcPr>
          <w:p w14:paraId="09A0DC7A" w14:textId="5C5D4CDD" w:rsidR="00B01666" w:rsidRDefault="00B01666" w:rsidP="00B01666">
            <w:pPr>
              <w:pStyle w:val="NormalWeb"/>
              <w:spacing w:before="0" w:beforeAutospacing="0" w:after="0" w:afterAutospacing="0"/>
            </w:pPr>
            <w:r>
              <w:t xml:space="preserve">apkarošanas biroja, </w:t>
            </w:r>
            <w:r w:rsidRPr="00767B0A">
              <w:rPr>
                <w:color w:val="2A2A2A"/>
              </w:rPr>
              <w:t xml:space="preserve">Sabiedriskās politikas centrs </w:t>
            </w:r>
          </w:p>
        </w:tc>
      </w:tr>
      <w:tr w:rsidR="00B01666" w:rsidRPr="00712B66" w14:paraId="21723257" w14:textId="77777777" w:rsidTr="00414616">
        <w:trPr>
          <w:trHeight w:val="274"/>
        </w:trPr>
        <w:tc>
          <w:tcPr>
            <w:tcW w:w="6708" w:type="dxa"/>
          </w:tcPr>
          <w:p w14:paraId="18A2ABA9" w14:textId="77777777" w:rsidR="00B01666" w:rsidRDefault="00B01666" w:rsidP="0036160E">
            <w:pPr>
              <w:pStyle w:val="naiskr"/>
              <w:spacing w:before="0" w:after="0"/>
              <w:ind w:firstLine="720"/>
            </w:pPr>
          </w:p>
        </w:tc>
        <w:tc>
          <w:tcPr>
            <w:tcW w:w="5874" w:type="dxa"/>
            <w:gridSpan w:val="2"/>
            <w:tcBorders>
              <w:top w:val="single" w:sz="6" w:space="0" w:color="000000"/>
              <w:bottom w:val="single" w:sz="6" w:space="0" w:color="000000"/>
            </w:tcBorders>
          </w:tcPr>
          <w:p w14:paraId="33A0232D" w14:textId="4B1D1FC3" w:rsidR="00B01666" w:rsidRDefault="00B01666" w:rsidP="00B01666">
            <w:pPr>
              <w:pStyle w:val="NormalWeb"/>
              <w:spacing w:before="0" w:beforeAutospacing="0" w:after="0" w:afterAutospacing="0"/>
            </w:pPr>
            <w:r w:rsidRPr="00767B0A">
              <w:rPr>
                <w:color w:val="2A2A2A"/>
              </w:rPr>
              <w:t>PROVIDUS</w:t>
            </w:r>
          </w:p>
        </w:tc>
      </w:tr>
      <w:tr w:rsidR="007B4C0F" w:rsidRPr="00712B66" w14:paraId="70941553" w14:textId="77777777">
        <w:trPr>
          <w:trHeight w:val="465"/>
        </w:trPr>
        <w:tc>
          <w:tcPr>
            <w:tcW w:w="12582" w:type="dxa"/>
            <w:gridSpan w:val="3"/>
          </w:tcPr>
          <w:p w14:paraId="63207E24" w14:textId="77777777" w:rsidR="007B4C0F" w:rsidRPr="00712B66" w:rsidRDefault="007B4C0F" w:rsidP="003C27A2">
            <w:pPr>
              <w:pStyle w:val="naisc"/>
              <w:spacing w:before="0" w:after="0"/>
              <w:ind w:left="4820" w:firstLine="720"/>
            </w:pPr>
          </w:p>
        </w:tc>
      </w:tr>
      <w:tr w:rsidR="007B4C0F" w:rsidRPr="00712B66" w14:paraId="10E5688B" w14:textId="77777777">
        <w:tc>
          <w:tcPr>
            <w:tcW w:w="6708" w:type="dxa"/>
          </w:tcPr>
          <w:p w14:paraId="7C0300B8"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1A3F7E85" w14:textId="77777777" w:rsidR="007B4C0F" w:rsidRPr="00712B66" w:rsidRDefault="007B4C0F" w:rsidP="0036160E">
            <w:pPr>
              <w:pStyle w:val="naiskr"/>
              <w:spacing w:before="0" w:after="0"/>
              <w:ind w:firstLine="720"/>
            </w:pPr>
          </w:p>
        </w:tc>
      </w:tr>
      <w:tr w:rsidR="007B4C0F" w:rsidRPr="00712B66" w14:paraId="150AFC98" w14:textId="77777777">
        <w:tc>
          <w:tcPr>
            <w:tcW w:w="6708" w:type="dxa"/>
          </w:tcPr>
          <w:p w14:paraId="4BE86720"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2DC90D2B" w14:textId="77777777" w:rsidR="007B4C0F" w:rsidRPr="00712B66" w:rsidRDefault="007B4C0F" w:rsidP="0036160E">
            <w:pPr>
              <w:pStyle w:val="naiskr"/>
              <w:spacing w:before="0" w:after="0"/>
              <w:ind w:firstLine="720"/>
            </w:pPr>
          </w:p>
        </w:tc>
      </w:tr>
      <w:tr w:rsidR="007B4C0F" w:rsidRPr="00712B66" w14:paraId="35D59C9E" w14:textId="77777777">
        <w:tc>
          <w:tcPr>
            <w:tcW w:w="6708" w:type="dxa"/>
          </w:tcPr>
          <w:p w14:paraId="6189221E" w14:textId="77777777"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14:paraId="64EEBD00" w14:textId="77777777" w:rsidR="007B4C0F" w:rsidRPr="00712B66" w:rsidRDefault="007B4C0F" w:rsidP="0036160E">
            <w:pPr>
              <w:pStyle w:val="naiskr"/>
              <w:spacing w:before="0" w:after="0"/>
              <w:ind w:firstLine="720"/>
            </w:pPr>
          </w:p>
        </w:tc>
      </w:tr>
    </w:tbl>
    <w:p w14:paraId="5EE6174A" w14:textId="77777777" w:rsidR="00683081" w:rsidRPr="00712B66" w:rsidRDefault="00683081" w:rsidP="00683081">
      <w:pPr>
        <w:pStyle w:val="naisf"/>
        <w:spacing w:before="0" w:after="0"/>
        <w:ind w:firstLine="720"/>
      </w:pPr>
    </w:p>
    <w:p w14:paraId="3C184D12"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0B51878E" w14:textId="77777777" w:rsidR="007B4C0F" w:rsidRPr="00712B66"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3"/>
        <w:gridCol w:w="1835"/>
        <w:gridCol w:w="278"/>
        <w:gridCol w:w="6845"/>
        <w:gridCol w:w="1020"/>
        <w:gridCol w:w="2407"/>
        <w:gridCol w:w="1934"/>
      </w:tblGrid>
      <w:tr w:rsidR="00134188" w:rsidRPr="00712B66" w14:paraId="0BE6A333" w14:textId="77777777" w:rsidTr="7E8539FD">
        <w:tc>
          <w:tcPr>
            <w:tcW w:w="67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CA0829" w14:textId="77777777" w:rsidR="00134188" w:rsidRPr="00712B66" w:rsidRDefault="00134188" w:rsidP="009623BC">
            <w:pPr>
              <w:pStyle w:val="naisc"/>
              <w:spacing w:before="0" w:after="0"/>
            </w:pPr>
            <w:r w:rsidRPr="00712B66">
              <w:t>Nr. p.</w:t>
            </w:r>
            <w:r w:rsidR="00D64FB0">
              <w:t> </w:t>
            </w:r>
            <w:r w:rsidRPr="00712B66">
              <w:t>k.</w:t>
            </w:r>
          </w:p>
        </w:tc>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A7E1DD"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712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90B461"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4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649F97"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1934" w:type="dxa"/>
            <w:tcBorders>
              <w:top w:val="single" w:sz="4" w:space="0" w:color="auto"/>
              <w:left w:val="single" w:sz="4" w:space="0" w:color="auto"/>
              <w:bottom w:val="single" w:sz="4" w:space="0" w:color="auto"/>
            </w:tcBorders>
            <w:vAlign w:val="center"/>
          </w:tcPr>
          <w:p w14:paraId="324B4018" w14:textId="77777777" w:rsidR="00134188" w:rsidRPr="00712B66" w:rsidRDefault="00134188" w:rsidP="009623BC">
            <w:pPr>
              <w:jc w:val="center"/>
            </w:pPr>
            <w:r w:rsidRPr="00712B66">
              <w:t>Projekta attiecīgā punkta (panta) galīgā redakcija</w:t>
            </w:r>
          </w:p>
        </w:tc>
      </w:tr>
      <w:tr w:rsidR="00134188" w:rsidRPr="003B71E0" w14:paraId="6F1BC88B" w14:textId="77777777" w:rsidTr="7E8539FD">
        <w:tc>
          <w:tcPr>
            <w:tcW w:w="6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0FA422" w14:textId="77777777" w:rsidR="00134188" w:rsidRPr="003B71E0" w:rsidRDefault="003B71E0" w:rsidP="003B71E0">
            <w:pPr>
              <w:pStyle w:val="naisc"/>
              <w:spacing w:before="0" w:after="0"/>
              <w:rPr>
                <w:sz w:val="20"/>
                <w:szCs w:val="20"/>
              </w:rPr>
            </w:pPr>
            <w:r w:rsidRPr="003B71E0">
              <w:rPr>
                <w:sz w:val="20"/>
                <w:szCs w:val="20"/>
              </w:rPr>
              <w:t>1</w:t>
            </w:r>
          </w:p>
        </w:tc>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188691" w14:textId="77777777" w:rsidR="00134188" w:rsidRPr="003B71E0" w:rsidRDefault="00F34AAB" w:rsidP="003B71E0">
            <w:pPr>
              <w:pStyle w:val="naisc"/>
              <w:spacing w:before="0" w:after="0"/>
              <w:ind w:firstLine="720"/>
              <w:rPr>
                <w:sz w:val="20"/>
                <w:szCs w:val="20"/>
              </w:rPr>
            </w:pPr>
            <w:r>
              <w:rPr>
                <w:sz w:val="20"/>
                <w:szCs w:val="20"/>
              </w:rPr>
              <w:t>2</w:t>
            </w:r>
          </w:p>
        </w:tc>
        <w:tc>
          <w:tcPr>
            <w:tcW w:w="712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EF36D4"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34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1727CC"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1934" w:type="dxa"/>
            <w:tcBorders>
              <w:top w:val="single" w:sz="4" w:space="0" w:color="auto"/>
              <w:left w:val="single" w:sz="4" w:space="0" w:color="auto"/>
              <w:bottom w:val="single" w:sz="4" w:space="0" w:color="auto"/>
            </w:tcBorders>
          </w:tcPr>
          <w:p w14:paraId="7F5EB391" w14:textId="77777777" w:rsidR="00134188" w:rsidRPr="003B71E0" w:rsidRDefault="003B71E0" w:rsidP="003B71E0">
            <w:pPr>
              <w:jc w:val="center"/>
              <w:rPr>
                <w:sz w:val="20"/>
                <w:szCs w:val="20"/>
              </w:rPr>
            </w:pPr>
            <w:r w:rsidRPr="003B71E0">
              <w:rPr>
                <w:sz w:val="20"/>
                <w:szCs w:val="20"/>
              </w:rPr>
              <w:t>5</w:t>
            </w:r>
          </w:p>
        </w:tc>
      </w:tr>
      <w:tr w:rsidR="006658E1" w:rsidRPr="00712B66" w14:paraId="7A95D517" w14:textId="77777777" w:rsidTr="7E8539FD">
        <w:tc>
          <w:tcPr>
            <w:tcW w:w="673" w:type="dxa"/>
            <w:tcBorders>
              <w:left w:val="single" w:sz="6" w:space="0" w:color="000000" w:themeColor="text1"/>
              <w:bottom w:val="single" w:sz="4" w:space="0" w:color="auto"/>
              <w:right w:val="single" w:sz="6" w:space="0" w:color="000000" w:themeColor="text1"/>
            </w:tcBorders>
          </w:tcPr>
          <w:p w14:paraId="5555775E" w14:textId="6939D45D" w:rsidR="006658E1" w:rsidRDefault="006658E1" w:rsidP="006658E1">
            <w:pPr>
              <w:pStyle w:val="naisc"/>
              <w:spacing w:before="0" w:after="0"/>
            </w:pPr>
            <w:r>
              <w:t>1.</w:t>
            </w:r>
          </w:p>
        </w:tc>
        <w:tc>
          <w:tcPr>
            <w:tcW w:w="1835" w:type="dxa"/>
            <w:tcBorders>
              <w:left w:val="single" w:sz="6" w:space="0" w:color="000000" w:themeColor="text1"/>
              <w:bottom w:val="single" w:sz="4" w:space="0" w:color="auto"/>
              <w:right w:val="single" w:sz="6" w:space="0" w:color="000000" w:themeColor="text1"/>
            </w:tcBorders>
          </w:tcPr>
          <w:p w14:paraId="4AD12F68" w14:textId="790B58D9" w:rsidR="006658E1" w:rsidRDefault="006658E1" w:rsidP="006658E1">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435C87F9" w14:textId="77777777" w:rsidR="006658E1" w:rsidRDefault="006658E1" w:rsidP="006658E1">
            <w:pPr>
              <w:pStyle w:val="naisc"/>
              <w:spacing w:before="0" w:after="0"/>
              <w:rPr>
                <w:b/>
              </w:rPr>
            </w:pPr>
            <w:r>
              <w:rPr>
                <w:b/>
              </w:rPr>
              <w:t>Biedrība "Sabiedriskās politikas centrs PROVIDUS"</w:t>
            </w:r>
          </w:p>
          <w:p w14:paraId="4FD94122" w14:textId="77777777" w:rsidR="006658E1" w:rsidRDefault="006658E1" w:rsidP="006658E1">
            <w:pPr>
              <w:pStyle w:val="naisc"/>
              <w:spacing w:before="0" w:after="0"/>
            </w:pPr>
            <w:r>
              <w:t>(28.12.2020. iebildums)</w:t>
            </w:r>
          </w:p>
          <w:p w14:paraId="5CA4A1D9" w14:textId="77777777" w:rsidR="006658E1" w:rsidRDefault="006658E1" w:rsidP="006658E1">
            <w:pPr>
              <w:pStyle w:val="naisc"/>
              <w:spacing w:before="0" w:after="0"/>
            </w:pPr>
          </w:p>
          <w:p w14:paraId="32E1DC46" w14:textId="77777777" w:rsidR="006658E1" w:rsidRDefault="006658E1" w:rsidP="006658E1">
            <w:pPr>
              <w:pStyle w:val="naisc"/>
              <w:jc w:val="both"/>
            </w:pPr>
            <w:r>
              <w:t xml:space="preserve">Vienlaikus, zinot, cik sarežģīti iepriekšējos gados Valsts administrācijai skolai ir bijis nodrošināt finansējumu mācību organizēšanai, tik plašs un ambiciozs piedāvātās stratēģijas vēriens ne tikai sajūsmina, bet arī biedē.   Stratēģijas melnraksta pēdējais teikums šobrīd pasaka, ka tās īstenošanas </w:t>
            </w:r>
            <w:r>
              <w:lastRenderedPageBreak/>
              <w:t>laika grafiks tiks izstrādāts pēc piesaistītā finansējuma apstiprināšanas. Stratēģijā nav pieļauta iespēja, ka šāds finansējums vai nu netiks piesaistīts vispār, vai netiks piesaistīts vajadzīgajā apmērā.  Stratēģijas visaptverošais un ambiciozais raksturs acīmredzami ir rakstīts kā “plāns – maksimums”, proti, ar priekšnoteikumu, ka iesaistīto institūciju rīcībā būs teju neierobežoti resursi. Līdzšinējā Latvijas pārvaldes attīstības pieredze liek pret šādu pieņēmumu izturēties piesardzīgi.</w:t>
            </w:r>
          </w:p>
          <w:p w14:paraId="1DCC2620" w14:textId="77777777" w:rsidR="006658E1" w:rsidRDefault="006658E1" w:rsidP="006658E1">
            <w:pPr>
              <w:pStyle w:val="naisc"/>
              <w:jc w:val="both"/>
            </w:pPr>
            <w:r>
              <w:t>PROVIDUS ieteikums būtu šāds: kaut aptuveni aplēst šādas stratēģijas īstenošanas izmaksas, kā arī prioritizēt veicamos darbus atkarībā no tā, kā veiksies ar finansējuma piesaisti.  Ja šobrīd aprakstītajā melnrakstā ir izklāstīta maksimālā programma, tad kuri no darbiem ir paši svarīgākie (kuriem prioritāri jāatrod finansējums)?  Kas notiks tad, ja finansējums netiks atrasts? Vai ir kādi uzdevumi, kuru izpildi ir iespējams nodrošināt, nepiesaistot papildus finansējumu? Tāpat būtu vērtīgi sīkāk aprakstīt katru no 4.pielikumā pieminētajiem potenciālajiem finansējuma avotiem, sniedzot reālistisku novērtējumu par to, cik lielā mērā ir iespējams paļauties uz to, ka šis finansējuma avots patiešām būs pielietojams mācību finansēšanas vajadzībām (kāda ir pagātnes pieredze,  kādu daļu no valsts sektora apmācības vajadzībām tas sedza, - kā arī to, kāds ir pamats cerībām uz to, ka šis avots būs pieejams arī līdz 2028.gadam).</w:t>
            </w:r>
          </w:p>
          <w:p w14:paraId="561495F3" w14:textId="3BDF520C" w:rsidR="006658E1" w:rsidRDefault="006658E1" w:rsidP="006658E1">
            <w:pPr>
              <w:pStyle w:val="naisc"/>
              <w:spacing w:before="0" w:after="0"/>
              <w:jc w:val="both"/>
              <w:rPr>
                <w:b/>
              </w:rPr>
            </w:pPr>
            <w:r>
              <w:t>PROVIDUS lielākās bažas ir par to, vai gadījumā, ja nesekmēsies centieni atrast finansējumu “plānam – maksimums”, nepazudīs arī tās apmācību iespējas, kuras valsts pārvaldes darbiniekiem ir kritiski svarīgas viņu ikdienas darbam.  Svarīgi paredzēt “plānu B”, lai tā nenotiktu.</w:t>
            </w:r>
          </w:p>
        </w:tc>
        <w:tc>
          <w:tcPr>
            <w:tcW w:w="3427" w:type="dxa"/>
            <w:gridSpan w:val="2"/>
            <w:tcBorders>
              <w:left w:val="single" w:sz="6" w:space="0" w:color="000000" w:themeColor="text1"/>
              <w:bottom w:val="single" w:sz="4" w:space="0" w:color="auto"/>
              <w:right w:val="single" w:sz="6" w:space="0" w:color="000000" w:themeColor="text1"/>
            </w:tcBorders>
          </w:tcPr>
          <w:p w14:paraId="6EC97E11" w14:textId="1FDD575C" w:rsidR="006658E1" w:rsidRPr="00655475" w:rsidRDefault="006658E1" w:rsidP="00655475">
            <w:pPr>
              <w:jc w:val="both"/>
              <w:rPr>
                <w:b/>
              </w:rPr>
            </w:pPr>
            <w:r w:rsidRPr="00655475">
              <w:rPr>
                <w:b/>
              </w:rPr>
              <w:lastRenderedPageBreak/>
              <w:t>Uzskatāms par saskaņotu e</w:t>
            </w:r>
            <w:r w:rsidR="00655475" w:rsidRPr="00655475">
              <w:rPr>
                <w:b/>
              </w:rPr>
              <w:t>lektroniskās saskaņošanas laikā</w:t>
            </w:r>
            <w:r w:rsidRPr="00655475">
              <w:rPr>
                <w:b/>
              </w:rPr>
              <w:t xml:space="preserve"> </w:t>
            </w:r>
          </w:p>
        </w:tc>
        <w:tc>
          <w:tcPr>
            <w:tcW w:w="1934" w:type="dxa"/>
            <w:tcBorders>
              <w:top w:val="single" w:sz="4" w:space="0" w:color="auto"/>
              <w:left w:val="single" w:sz="4" w:space="0" w:color="auto"/>
              <w:bottom w:val="single" w:sz="4" w:space="0" w:color="auto"/>
            </w:tcBorders>
          </w:tcPr>
          <w:p w14:paraId="42F63681" w14:textId="49DF58E2" w:rsidR="006658E1" w:rsidRDefault="006658E1" w:rsidP="006658E1">
            <w:pPr>
              <w:jc w:val="both"/>
            </w:pPr>
            <w:r>
              <w:t>Skat. Plāna projekta 2. un 5. pielikumu.</w:t>
            </w:r>
          </w:p>
        </w:tc>
      </w:tr>
      <w:tr w:rsidR="006658E1" w:rsidRPr="00712B66" w14:paraId="518F289A" w14:textId="77777777" w:rsidTr="7E8539FD">
        <w:tc>
          <w:tcPr>
            <w:tcW w:w="673" w:type="dxa"/>
            <w:tcBorders>
              <w:left w:val="single" w:sz="6" w:space="0" w:color="000000" w:themeColor="text1"/>
              <w:bottom w:val="single" w:sz="4" w:space="0" w:color="auto"/>
              <w:right w:val="single" w:sz="6" w:space="0" w:color="000000" w:themeColor="text1"/>
            </w:tcBorders>
          </w:tcPr>
          <w:p w14:paraId="51BE600E" w14:textId="7B7B28C6" w:rsidR="006658E1" w:rsidRDefault="00F76D07" w:rsidP="006658E1">
            <w:pPr>
              <w:pStyle w:val="naisc"/>
              <w:spacing w:before="0" w:after="0"/>
            </w:pPr>
            <w:r>
              <w:t>2</w:t>
            </w:r>
            <w:r w:rsidR="006658E1">
              <w:t>.</w:t>
            </w:r>
          </w:p>
        </w:tc>
        <w:tc>
          <w:tcPr>
            <w:tcW w:w="1835" w:type="dxa"/>
            <w:tcBorders>
              <w:left w:val="single" w:sz="6" w:space="0" w:color="000000" w:themeColor="text1"/>
              <w:bottom w:val="single" w:sz="4" w:space="0" w:color="auto"/>
              <w:right w:val="single" w:sz="6" w:space="0" w:color="000000" w:themeColor="text1"/>
            </w:tcBorders>
          </w:tcPr>
          <w:p w14:paraId="0F77CAD6" w14:textId="77777777" w:rsidR="006658E1" w:rsidRPr="00712B66" w:rsidRDefault="006658E1" w:rsidP="006658E1">
            <w:pPr>
              <w:pStyle w:val="naisc"/>
              <w:spacing w:before="0" w:after="0"/>
              <w:jc w:val="both"/>
            </w:pPr>
            <w:r>
              <w:t>Skat. Plāna projekta 2. un 4. pielikumu.</w:t>
            </w:r>
          </w:p>
        </w:tc>
        <w:tc>
          <w:tcPr>
            <w:tcW w:w="7123" w:type="dxa"/>
            <w:gridSpan w:val="2"/>
            <w:tcBorders>
              <w:left w:val="single" w:sz="6" w:space="0" w:color="000000" w:themeColor="text1"/>
              <w:bottom w:val="single" w:sz="4" w:space="0" w:color="auto"/>
              <w:right w:val="single" w:sz="6" w:space="0" w:color="000000" w:themeColor="text1"/>
            </w:tcBorders>
          </w:tcPr>
          <w:p w14:paraId="01AD2DBE" w14:textId="77777777" w:rsidR="006658E1" w:rsidRDefault="006658E1" w:rsidP="006658E1">
            <w:pPr>
              <w:pStyle w:val="naisc"/>
              <w:spacing w:before="0" w:after="0"/>
              <w:rPr>
                <w:b/>
              </w:rPr>
            </w:pPr>
            <w:r>
              <w:rPr>
                <w:b/>
              </w:rPr>
              <w:t>Finanšu ministrija</w:t>
            </w:r>
          </w:p>
          <w:p w14:paraId="6BC075C3" w14:textId="77777777" w:rsidR="006658E1" w:rsidRDefault="006658E1" w:rsidP="006658E1">
            <w:pPr>
              <w:pStyle w:val="naisc"/>
              <w:spacing w:before="0" w:after="0"/>
            </w:pPr>
            <w:r>
              <w:t>(07.01.2021. iebildums)</w:t>
            </w:r>
          </w:p>
          <w:p w14:paraId="5172AC55" w14:textId="77777777" w:rsidR="006658E1" w:rsidRDefault="006658E1" w:rsidP="006658E1">
            <w:pPr>
              <w:pStyle w:val="naisc"/>
              <w:spacing w:before="0" w:after="0"/>
            </w:pPr>
          </w:p>
          <w:p w14:paraId="374A186A" w14:textId="77777777" w:rsidR="006658E1" w:rsidRPr="000646A4" w:rsidRDefault="006658E1" w:rsidP="006658E1">
            <w:pPr>
              <w:pStyle w:val="naisc"/>
              <w:spacing w:before="0" w:after="0"/>
              <w:jc w:val="both"/>
            </w:pPr>
            <w:r w:rsidRPr="000646A4">
              <w:t xml:space="preserve">2.pielikumā “Stratēģijas īstenošanas procesi, iesaistītās puses un to uzdevumi” noradīts, ka iestādes līmenī jāparedz atbilstošus resursus nodarbināto attīstībai, līdz 2027.gadam sasniedzot 5% no atlīdzības budžeta. Ņemot vērā, ka 4.pielikumā minētais pasākums nav norādīts, </w:t>
            </w:r>
            <w:r w:rsidRPr="000646A4">
              <w:lastRenderedPageBreak/>
              <w:t>lūdzam skaidrot vai attiecīgi iestādes varēs to nodrošināt piešķirto līdzekļu ietvaros.</w:t>
            </w:r>
          </w:p>
        </w:tc>
        <w:tc>
          <w:tcPr>
            <w:tcW w:w="3427" w:type="dxa"/>
            <w:gridSpan w:val="2"/>
            <w:tcBorders>
              <w:left w:val="single" w:sz="6" w:space="0" w:color="000000" w:themeColor="text1"/>
              <w:bottom w:val="single" w:sz="4" w:space="0" w:color="auto"/>
              <w:right w:val="single" w:sz="6" w:space="0" w:color="000000" w:themeColor="text1"/>
            </w:tcBorders>
          </w:tcPr>
          <w:p w14:paraId="309764B0" w14:textId="4E401B33" w:rsidR="006658E1" w:rsidRPr="00281EDB" w:rsidRDefault="006658E1" w:rsidP="006658E1">
            <w:pPr>
              <w:pStyle w:val="naisc"/>
              <w:spacing w:before="0" w:after="0"/>
              <w:jc w:val="both"/>
              <w:rPr>
                <w:b/>
                <w:bCs/>
                <w:color w:val="FF0000"/>
              </w:rPr>
            </w:pPr>
            <w:r w:rsidRPr="00281EDB">
              <w:rPr>
                <w:b/>
                <w:bCs/>
              </w:rPr>
              <w:lastRenderedPageBreak/>
              <w:t>Ņemts vērā</w:t>
            </w:r>
          </w:p>
        </w:tc>
        <w:tc>
          <w:tcPr>
            <w:tcW w:w="1934" w:type="dxa"/>
            <w:tcBorders>
              <w:top w:val="single" w:sz="4" w:space="0" w:color="auto"/>
              <w:left w:val="single" w:sz="4" w:space="0" w:color="auto"/>
              <w:bottom w:val="single" w:sz="4" w:space="0" w:color="auto"/>
            </w:tcBorders>
          </w:tcPr>
          <w:p w14:paraId="3AFE8709" w14:textId="1BFE192A" w:rsidR="006658E1" w:rsidRPr="00712B66" w:rsidRDefault="006658E1" w:rsidP="006658E1">
            <w:pPr>
              <w:jc w:val="both"/>
            </w:pPr>
            <w:r>
              <w:t xml:space="preserve">Skat. Plāna projekta 3.pielikumu. </w:t>
            </w:r>
          </w:p>
        </w:tc>
      </w:tr>
      <w:tr w:rsidR="006658E1" w:rsidRPr="00712B66" w14:paraId="4CE38C37" w14:textId="77777777" w:rsidTr="7E8539FD">
        <w:tc>
          <w:tcPr>
            <w:tcW w:w="673" w:type="dxa"/>
            <w:tcBorders>
              <w:left w:val="single" w:sz="6" w:space="0" w:color="000000" w:themeColor="text1"/>
              <w:bottom w:val="single" w:sz="4" w:space="0" w:color="auto"/>
              <w:right w:val="single" w:sz="6" w:space="0" w:color="000000" w:themeColor="text1"/>
            </w:tcBorders>
          </w:tcPr>
          <w:p w14:paraId="7C158EF5" w14:textId="0546C5B2" w:rsidR="006658E1" w:rsidRDefault="00F76D07" w:rsidP="006658E1">
            <w:pPr>
              <w:pStyle w:val="naisc"/>
              <w:spacing w:before="0" w:after="0"/>
            </w:pPr>
            <w:r>
              <w:t>3</w:t>
            </w:r>
            <w:r w:rsidR="006658E1">
              <w:t>.</w:t>
            </w:r>
          </w:p>
        </w:tc>
        <w:tc>
          <w:tcPr>
            <w:tcW w:w="1835" w:type="dxa"/>
            <w:tcBorders>
              <w:left w:val="single" w:sz="6" w:space="0" w:color="000000" w:themeColor="text1"/>
              <w:bottom w:val="single" w:sz="4" w:space="0" w:color="auto"/>
              <w:right w:val="single" w:sz="6" w:space="0" w:color="000000" w:themeColor="text1"/>
            </w:tcBorders>
          </w:tcPr>
          <w:p w14:paraId="621A463C" w14:textId="77777777" w:rsidR="006658E1" w:rsidRPr="00712B66" w:rsidRDefault="006658E1" w:rsidP="006658E1">
            <w:pPr>
              <w:pStyle w:val="naisc"/>
              <w:spacing w:before="0" w:after="0"/>
              <w:jc w:val="both"/>
            </w:pPr>
            <w:r>
              <w:t>Skat. Plāna projekta 3. pielikumu.</w:t>
            </w:r>
          </w:p>
        </w:tc>
        <w:tc>
          <w:tcPr>
            <w:tcW w:w="7123" w:type="dxa"/>
            <w:gridSpan w:val="2"/>
            <w:tcBorders>
              <w:left w:val="single" w:sz="6" w:space="0" w:color="000000" w:themeColor="text1"/>
              <w:bottom w:val="single" w:sz="4" w:space="0" w:color="auto"/>
              <w:right w:val="single" w:sz="6" w:space="0" w:color="000000" w:themeColor="text1"/>
            </w:tcBorders>
          </w:tcPr>
          <w:p w14:paraId="2505681B" w14:textId="77777777" w:rsidR="006658E1" w:rsidRDefault="006658E1" w:rsidP="006658E1">
            <w:pPr>
              <w:pStyle w:val="naisc"/>
              <w:spacing w:before="0" w:after="0"/>
              <w:rPr>
                <w:b/>
              </w:rPr>
            </w:pPr>
            <w:r>
              <w:rPr>
                <w:b/>
              </w:rPr>
              <w:t>Finanšu ministrija</w:t>
            </w:r>
          </w:p>
          <w:p w14:paraId="5B779465" w14:textId="77777777" w:rsidR="006658E1" w:rsidRDefault="006658E1" w:rsidP="006658E1">
            <w:pPr>
              <w:pStyle w:val="naisc"/>
              <w:spacing w:before="0" w:after="0"/>
            </w:pPr>
            <w:r>
              <w:t>(07.01.2021. iebildums)</w:t>
            </w:r>
          </w:p>
          <w:p w14:paraId="1584D690" w14:textId="77777777" w:rsidR="006658E1" w:rsidRDefault="006658E1" w:rsidP="006658E1">
            <w:pPr>
              <w:pStyle w:val="naisc"/>
              <w:spacing w:before="0" w:after="0"/>
              <w:rPr>
                <w:b/>
              </w:rPr>
            </w:pPr>
          </w:p>
          <w:p w14:paraId="24280D0F" w14:textId="77777777" w:rsidR="006658E1" w:rsidRPr="000646A4" w:rsidRDefault="006658E1" w:rsidP="006658E1">
            <w:pPr>
              <w:pStyle w:val="naisc"/>
              <w:spacing w:before="0" w:after="0"/>
              <w:jc w:val="both"/>
            </w:pPr>
            <w:r w:rsidRPr="000646A4">
              <w:t>3.pielikumā “Mācību un attīstības pasākumu pārvaldība” norādīts, ka atbilstoši stratēģijas redzējumam būs pārskatīts un apstiprināts Valsts administrācijas skolas (turpmāk – VAS) nolikums, darbības ietvars, struktūra un budžets. Norādām, ka VAS ir valsts budžeta iestāde un tās budžets tiek apstiprināts gadskārtējā valsts budžeta likumā, līdz ar to VAS budžeta pārskatīšana ir iespējama tikai gadskārtējā valsts budžeta sagatavošanas procesā, vienlaikus nepieciešamības gadījumā jautājumu par papildu valsts budžeta finansējumu skatot kopā ar visu ministriju un citu centrālo valsts iestāžu iesniegtajiem prioritāro pasākumu pieteikumiem atbilstoši valsts budžeta finansiālajām iespējām. Ņemot vērā minēto, jāprecizē sniegtā informācija attiecībā uz budžetu, ka atbilstoši stratēģijas redzējumam tiks vērtēts VAS nepieciešamais finansējums.</w:t>
            </w:r>
          </w:p>
        </w:tc>
        <w:tc>
          <w:tcPr>
            <w:tcW w:w="3427" w:type="dxa"/>
            <w:gridSpan w:val="2"/>
            <w:tcBorders>
              <w:left w:val="single" w:sz="6" w:space="0" w:color="000000" w:themeColor="text1"/>
              <w:bottom w:val="single" w:sz="4" w:space="0" w:color="auto"/>
              <w:right w:val="single" w:sz="6" w:space="0" w:color="000000" w:themeColor="text1"/>
            </w:tcBorders>
          </w:tcPr>
          <w:p w14:paraId="314A1F94" w14:textId="61BCA0E0" w:rsidR="006658E1" w:rsidRPr="009D4684" w:rsidRDefault="006658E1" w:rsidP="006658E1">
            <w:pPr>
              <w:pStyle w:val="naisc"/>
              <w:spacing w:before="0" w:after="0"/>
              <w:jc w:val="both"/>
              <w:rPr>
                <w:b/>
                <w:bCs/>
              </w:rPr>
            </w:pPr>
            <w:r w:rsidRPr="009D4684">
              <w:rPr>
                <w:b/>
                <w:bCs/>
              </w:rPr>
              <w:t>Ņemts vērā</w:t>
            </w:r>
          </w:p>
          <w:p w14:paraId="2F89BB83" w14:textId="0026935E" w:rsidR="006658E1" w:rsidRPr="00712B66" w:rsidRDefault="006658E1" w:rsidP="006658E1">
            <w:pPr>
              <w:pStyle w:val="naisc"/>
              <w:spacing w:before="0" w:after="0"/>
              <w:jc w:val="both"/>
            </w:pPr>
          </w:p>
        </w:tc>
        <w:tc>
          <w:tcPr>
            <w:tcW w:w="1934" w:type="dxa"/>
            <w:tcBorders>
              <w:top w:val="single" w:sz="4" w:space="0" w:color="auto"/>
              <w:left w:val="single" w:sz="4" w:space="0" w:color="auto"/>
              <w:bottom w:val="single" w:sz="4" w:space="0" w:color="auto"/>
            </w:tcBorders>
          </w:tcPr>
          <w:p w14:paraId="51EB59DE" w14:textId="7E4F32BB" w:rsidR="006658E1" w:rsidRPr="00712B66" w:rsidRDefault="006658E1" w:rsidP="006658E1">
            <w:pPr>
              <w:jc w:val="both"/>
            </w:pPr>
            <w:r>
              <w:t>Skat. Plāna projekta 4.pielikumu.</w:t>
            </w:r>
          </w:p>
        </w:tc>
      </w:tr>
      <w:tr w:rsidR="006658E1" w:rsidRPr="00712B66" w14:paraId="68348598" w14:textId="77777777" w:rsidTr="7E8539FD">
        <w:tc>
          <w:tcPr>
            <w:tcW w:w="673" w:type="dxa"/>
            <w:tcBorders>
              <w:left w:val="single" w:sz="6" w:space="0" w:color="000000" w:themeColor="text1"/>
              <w:bottom w:val="single" w:sz="4" w:space="0" w:color="auto"/>
              <w:right w:val="single" w:sz="6" w:space="0" w:color="000000" w:themeColor="text1"/>
            </w:tcBorders>
          </w:tcPr>
          <w:p w14:paraId="5086E967" w14:textId="2D997B29" w:rsidR="006658E1" w:rsidRDefault="00F76D07" w:rsidP="006658E1">
            <w:pPr>
              <w:pStyle w:val="naisc"/>
              <w:spacing w:before="0" w:after="0"/>
            </w:pPr>
            <w:r>
              <w:t>4</w:t>
            </w:r>
            <w:r w:rsidR="006658E1">
              <w:t>.</w:t>
            </w:r>
          </w:p>
        </w:tc>
        <w:tc>
          <w:tcPr>
            <w:tcW w:w="1835" w:type="dxa"/>
            <w:tcBorders>
              <w:left w:val="single" w:sz="6" w:space="0" w:color="000000" w:themeColor="text1"/>
              <w:bottom w:val="single" w:sz="4" w:space="0" w:color="auto"/>
              <w:right w:val="single" w:sz="6" w:space="0" w:color="000000" w:themeColor="text1"/>
            </w:tcBorders>
          </w:tcPr>
          <w:p w14:paraId="62B502EF" w14:textId="77777777" w:rsidR="006658E1" w:rsidRPr="00712B66" w:rsidRDefault="006658E1" w:rsidP="006658E1">
            <w:pPr>
              <w:pStyle w:val="naisc"/>
              <w:spacing w:before="0" w:after="0"/>
              <w:jc w:val="both"/>
            </w:pPr>
            <w:r>
              <w:t>Skat. Plāna projekta 4. pielikumu.</w:t>
            </w:r>
          </w:p>
        </w:tc>
        <w:tc>
          <w:tcPr>
            <w:tcW w:w="7123" w:type="dxa"/>
            <w:gridSpan w:val="2"/>
            <w:tcBorders>
              <w:left w:val="single" w:sz="6" w:space="0" w:color="000000" w:themeColor="text1"/>
              <w:bottom w:val="single" w:sz="4" w:space="0" w:color="auto"/>
              <w:right w:val="single" w:sz="6" w:space="0" w:color="000000" w:themeColor="text1"/>
            </w:tcBorders>
          </w:tcPr>
          <w:p w14:paraId="553E87F4" w14:textId="77777777" w:rsidR="006658E1" w:rsidRDefault="006658E1" w:rsidP="006658E1">
            <w:pPr>
              <w:pStyle w:val="naisc"/>
              <w:spacing w:before="0" w:after="0"/>
              <w:rPr>
                <w:b/>
              </w:rPr>
            </w:pPr>
            <w:r>
              <w:rPr>
                <w:b/>
              </w:rPr>
              <w:t>Finanšu ministrija</w:t>
            </w:r>
          </w:p>
          <w:p w14:paraId="5AF28284" w14:textId="77777777" w:rsidR="006658E1" w:rsidRDefault="006658E1" w:rsidP="006658E1">
            <w:pPr>
              <w:pStyle w:val="naisc"/>
              <w:spacing w:before="0" w:after="0"/>
            </w:pPr>
            <w:r>
              <w:t>(07.01.2021. iebildums)</w:t>
            </w:r>
          </w:p>
          <w:p w14:paraId="2485EADB" w14:textId="77777777" w:rsidR="006658E1" w:rsidRDefault="006658E1" w:rsidP="006658E1">
            <w:pPr>
              <w:pStyle w:val="naisc"/>
              <w:spacing w:before="0" w:after="0"/>
              <w:jc w:val="both"/>
            </w:pPr>
          </w:p>
          <w:p w14:paraId="408F926C" w14:textId="77777777" w:rsidR="006658E1" w:rsidRDefault="006658E1" w:rsidP="006658E1">
            <w:pPr>
              <w:pStyle w:val="naisc"/>
              <w:spacing w:before="0" w:after="0"/>
              <w:jc w:val="both"/>
              <w:rPr>
                <w:b/>
              </w:rPr>
            </w:pPr>
            <w:r w:rsidRPr="009B1962">
              <w:t>4. pielikumā “Stratēģijas prioritāro virzienu mērķa rezultatīvie rādītāji un finansējuma avoti” pie pasākumiem ir norādītas vairākas iesaistītās institūcijas, kā arī attiecībā uz finansējuma avotiem sniegta informācija, ka stratēģijas īstenošanai ir plānots piesaistīt gan SF, gan valsts budžetu, gan citu finanšu instrumentu finansējumu un stratēģijas īstenošanas laika grafiks tiks izstrādāts pēc piesaistītā finansējuma apstiprināšanas. Uzskatām, ka minētajā pielikumā sniegtā informācija ir jāprecizē un jāpapildina, norādot pasākumiem nepieciešamā finansējuma apmērus, vienlaikus sniedzot detalizētu informāciju un aprēķinus tieši par nepieciešamā finansējuma apmēru no valsts budžeta.</w:t>
            </w:r>
          </w:p>
        </w:tc>
        <w:tc>
          <w:tcPr>
            <w:tcW w:w="3427" w:type="dxa"/>
            <w:gridSpan w:val="2"/>
            <w:tcBorders>
              <w:left w:val="single" w:sz="6" w:space="0" w:color="000000" w:themeColor="text1"/>
              <w:bottom w:val="single" w:sz="4" w:space="0" w:color="auto"/>
              <w:right w:val="single" w:sz="6" w:space="0" w:color="000000" w:themeColor="text1"/>
            </w:tcBorders>
          </w:tcPr>
          <w:p w14:paraId="4661A0A7" w14:textId="77777777" w:rsidR="006658E1" w:rsidRPr="009D4684" w:rsidRDefault="006658E1" w:rsidP="006658E1">
            <w:pPr>
              <w:pStyle w:val="naisc"/>
              <w:spacing w:before="0" w:after="0"/>
              <w:jc w:val="both"/>
              <w:rPr>
                <w:b/>
                <w:bCs/>
              </w:rPr>
            </w:pPr>
            <w:r w:rsidRPr="009D4684">
              <w:rPr>
                <w:b/>
                <w:bCs/>
              </w:rPr>
              <w:t>Ņemts vērā</w:t>
            </w:r>
          </w:p>
          <w:p w14:paraId="65353C92" w14:textId="77777777" w:rsidR="006658E1" w:rsidRDefault="006658E1" w:rsidP="006658E1"/>
          <w:p w14:paraId="5EF12248" w14:textId="42ECAB7C" w:rsidR="006658E1" w:rsidRPr="00607605" w:rsidRDefault="006658E1" w:rsidP="006658E1">
            <w:pPr>
              <w:jc w:val="both"/>
              <w:rPr>
                <w:sz w:val="22"/>
                <w:szCs w:val="22"/>
              </w:rPr>
            </w:pPr>
            <w:r>
              <w:t>Plāna projekta</w:t>
            </w:r>
            <w:r w:rsidRPr="00607605">
              <w:t xml:space="preserve"> </w:t>
            </w:r>
            <w:r>
              <w:t>5</w:t>
            </w:r>
            <w:r w:rsidRPr="00607605">
              <w:t>.pielikum</w:t>
            </w:r>
            <w:r>
              <w:t>ā</w:t>
            </w:r>
            <w:r w:rsidRPr="00607605">
              <w:t xml:space="preserve"> ir norādīts </w:t>
            </w:r>
            <w:r>
              <w:t>projekta plāna</w:t>
            </w:r>
            <w:r w:rsidRPr="00607605">
              <w:t xml:space="preserve"> īstenošanai nepieciešamais valsts budžeta finansējums. Finansiālais aprēķins ir veikts, balstoties uz Nacionālā attīstības plānā 2021 – 2027 norādīto finansējumu pielikumā, kur V</w:t>
            </w:r>
            <w:r>
              <w:t>alsts kanceleja</w:t>
            </w:r>
            <w:r w:rsidRPr="00607605">
              <w:t xml:space="preserve"> ir norādīta kā atbildīgā par NAP uzdevuma izpildi un norādītais finansējums uzdevuma īstenošanai ir valsts budžets, gan 2014-2020  struktūrfondu </w:t>
            </w:r>
            <w:r w:rsidRPr="00607605">
              <w:lastRenderedPageBreak/>
              <w:t>plānošanas periodā vēl pieejamā finansējumu, gan indikatīvi plānoto 2021-2027.gada plānošanas perioda struktūrfondu finansējumu un indikatīvi Atveseļošanās un noturības mehānisma (RRF) paredzēto finansējumu, kā arī citus pieejamos finansēšanas avotus.</w:t>
            </w:r>
          </w:p>
        </w:tc>
        <w:tc>
          <w:tcPr>
            <w:tcW w:w="1934" w:type="dxa"/>
            <w:tcBorders>
              <w:top w:val="single" w:sz="4" w:space="0" w:color="auto"/>
              <w:left w:val="single" w:sz="4" w:space="0" w:color="auto"/>
              <w:bottom w:val="single" w:sz="4" w:space="0" w:color="auto"/>
            </w:tcBorders>
          </w:tcPr>
          <w:p w14:paraId="63BD1752" w14:textId="3E0BCD8E" w:rsidR="006658E1" w:rsidRPr="00712B66" w:rsidRDefault="006658E1" w:rsidP="006658E1">
            <w:pPr>
              <w:jc w:val="both"/>
            </w:pPr>
            <w:r>
              <w:lastRenderedPageBreak/>
              <w:t>Skat. Plāna projekta 2. un 5. pielikumu.</w:t>
            </w:r>
          </w:p>
        </w:tc>
      </w:tr>
      <w:tr w:rsidR="006658E1" w:rsidRPr="00712B66" w14:paraId="07C059C9" w14:textId="77777777" w:rsidTr="7E8539FD">
        <w:tc>
          <w:tcPr>
            <w:tcW w:w="673" w:type="dxa"/>
            <w:tcBorders>
              <w:left w:val="single" w:sz="6" w:space="0" w:color="000000" w:themeColor="text1"/>
              <w:bottom w:val="single" w:sz="4" w:space="0" w:color="auto"/>
              <w:right w:val="single" w:sz="6" w:space="0" w:color="000000" w:themeColor="text1"/>
            </w:tcBorders>
          </w:tcPr>
          <w:p w14:paraId="41F60C22" w14:textId="21CF5C9B" w:rsidR="006658E1" w:rsidRDefault="00F76D07" w:rsidP="006658E1">
            <w:pPr>
              <w:pStyle w:val="naisc"/>
              <w:spacing w:before="0" w:after="0"/>
            </w:pPr>
            <w:r>
              <w:t>5</w:t>
            </w:r>
            <w:r w:rsidR="006658E1">
              <w:t>.</w:t>
            </w:r>
          </w:p>
        </w:tc>
        <w:tc>
          <w:tcPr>
            <w:tcW w:w="1835" w:type="dxa"/>
            <w:tcBorders>
              <w:left w:val="single" w:sz="6" w:space="0" w:color="000000" w:themeColor="text1"/>
              <w:bottom w:val="single" w:sz="4" w:space="0" w:color="auto"/>
              <w:right w:val="single" w:sz="6" w:space="0" w:color="000000" w:themeColor="text1"/>
            </w:tcBorders>
          </w:tcPr>
          <w:p w14:paraId="173C4E1E" w14:textId="77777777" w:rsidR="006658E1" w:rsidRPr="00712B66" w:rsidRDefault="006658E1" w:rsidP="006658E1">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7F8D9F99" w14:textId="77777777" w:rsidR="006658E1" w:rsidRDefault="006658E1" w:rsidP="006658E1">
            <w:pPr>
              <w:pStyle w:val="naisc"/>
              <w:spacing w:before="0" w:after="0"/>
              <w:rPr>
                <w:b/>
              </w:rPr>
            </w:pPr>
            <w:r>
              <w:rPr>
                <w:b/>
              </w:rPr>
              <w:t>Finanšu ministrija</w:t>
            </w:r>
          </w:p>
          <w:p w14:paraId="7730B474" w14:textId="77777777" w:rsidR="006658E1" w:rsidRDefault="006658E1" w:rsidP="006658E1">
            <w:pPr>
              <w:pStyle w:val="naisc"/>
              <w:spacing w:before="0" w:after="0"/>
            </w:pPr>
            <w:r>
              <w:t>(07.01.2021. iebildums)</w:t>
            </w:r>
          </w:p>
          <w:p w14:paraId="2287BA5B" w14:textId="77777777" w:rsidR="006658E1" w:rsidRDefault="006658E1" w:rsidP="006658E1">
            <w:pPr>
              <w:pStyle w:val="naisc"/>
              <w:spacing w:before="0" w:after="0"/>
              <w:rPr>
                <w:b/>
              </w:rPr>
            </w:pPr>
          </w:p>
          <w:p w14:paraId="4C050468" w14:textId="77777777" w:rsidR="006658E1" w:rsidRDefault="006658E1" w:rsidP="006658E1">
            <w:pPr>
              <w:pStyle w:val="naisc"/>
              <w:spacing w:before="0" w:after="0"/>
              <w:jc w:val="both"/>
              <w:rPr>
                <w:b/>
              </w:rPr>
            </w:pPr>
            <w:r w:rsidRPr="009B1962">
              <w:t>Lai nodrošinātu tiesību aktos noteiktajai kompetenci un faktiskajai situācijai atbilstošu informāciju, lūdzam precizēt 10.lpp. norādīto informāciju, ka VAS “</w:t>
            </w:r>
            <w:r w:rsidRPr="009B1962">
              <w:rPr>
                <w:shd w:val="clear" w:color="auto" w:fill="FFFFFF"/>
              </w:rPr>
              <w:t>koordinē iekšējo auditoru sertifikāciju” izsakot to šādi: “sadarbībā ar Finanšu ministriju nodrošina valsts pārvaldes iekšējo auditoru sertifikāciju”.</w:t>
            </w:r>
          </w:p>
        </w:tc>
        <w:tc>
          <w:tcPr>
            <w:tcW w:w="3427" w:type="dxa"/>
            <w:gridSpan w:val="2"/>
            <w:tcBorders>
              <w:left w:val="single" w:sz="6" w:space="0" w:color="000000" w:themeColor="text1"/>
              <w:bottom w:val="single" w:sz="4" w:space="0" w:color="auto"/>
              <w:right w:val="single" w:sz="6" w:space="0" w:color="000000" w:themeColor="text1"/>
            </w:tcBorders>
          </w:tcPr>
          <w:p w14:paraId="7786F154" w14:textId="10CF1D22" w:rsidR="006658E1" w:rsidRPr="009D4684" w:rsidRDefault="006658E1" w:rsidP="006658E1">
            <w:pPr>
              <w:pStyle w:val="naisc"/>
              <w:spacing w:before="0" w:after="0"/>
              <w:jc w:val="both"/>
              <w:rPr>
                <w:b/>
                <w:bCs/>
              </w:rPr>
            </w:pPr>
            <w:r w:rsidRPr="009D4684">
              <w:rPr>
                <w:b/>
                <w:bCs/>
              </w:rPr>
              <w:t>Ņemts vērā</w:t>
            </w:r>
          </w:p>
        </w:tc>
        <w:tc>
          <w:tcPr>
            <w:tcW w:w="1934" w:type="dxa"/>
            <w:tcBorders>
              <w:top w:val="single" w:sz="4" w:space="0" w:color="auto"/>
              <w:left w:val="single" w:sz="4" w:space="0" w:color="auto"/>
              <w:bottom w:val="single" w:sz="4" w:space="0" w:color="auto"/>
            </w:tcBorders>
          </w:tcPr>
          <w:p w14:paraId="0EE524C5" w14:textId="2935571D" w:rsidR="006658E1" w:rsidRPr="00712B66" w:rsidRDefault="006658E1" w:rsidP="006658E1">
            <w:pPr>
              <w:jc w:val="both"/>
            </w:pPr>
            <w:r>
              <w:t>Skat. Plāna projekta 1.3. sadaļu.</w:t>
            </w:r>
          </w:p>
        </w:tc>
      </w:tr>
      <w:tr w:rsidR="006658E1" w:rsidRPr="00712B66" w14:paraId="4814B311" w14:textId="77777777" w:rsidTr="7E8539FD">
        <w:tc>
          <w:tcPr>
            <w:tcW w:w="673" w:type="dxa"/>
            <w:tcBorders>
              <w:left w:val="single" w:sz="6" w:space="0" w:color="000000" w:themeColor="text1"/>
              <w:bottom w:val="single" w:sz="4" w:space="0" w:color="auto"/>
              <w:right w:val="single" w:sz="6" w:space="0" w:color="000000" w:themeColor="text1"/>
            </w:tcBorders>
          </w:tcPr>
          <w:p w14:paraId="79411AAE" w14:textId="14913524" w:rsidR="006658E1" w:rsidRDefault="00F76D07" w:rsidP="006658E1">
            <w:pPr>
              <w:pStyle w:val="naisc"/>
              <w:spacing w:before="0" w:after="0"/>
            </w:pPr>
            <w:r>
              <w:t>6</w:t>
            </w:r>
            <w:r w:rsidR="006658E1">
              <w:t>.</w:t>
            </w:r>
          </w:p>
        </w:tc>
        <w:tc>
          <w:tcPr>
            <w:tcW w:w="1835" w:type="dxa"/>
            <w:tcBorders>
              <w:left w:val="single" w:sz="6" w:space="0" w:color="000000" w:themeColor="text1"/>
              <w:bottom w:val="single" w:sz="4" w:space="0" w:color="auto"/>
              <w:right w:val="single" w:sz="6" w:space="0" w:color="000000" w:themeColor="text1"/>
            </w:tcBorders>
          </w:tcPr>
          <w:p w14:paraId="51A97AEC" w14:textId="77777777" w:rsidR="006658E1" w:rsidRPr="00712B66" w:rsidRDefault="006658E1" w:rsidP="006658E1">
            <w:pPr>
              <w:pStyle w:val="naisc"/>
              <w:spacing w:before="0" w:after="0"/>
              <w:jc w:val="both"/>
            </w:pPr>
            <w:r>
              <w:t>Skat. Plāna projekta 5. pielikumu.</w:t>
            </w:r>
          </w:p>
        </w:tc>
        <w:tc>
          <w:tcPr>
            <w:tcW w:w="7123" w:type="dxa"/>
            <w:gridSpan w:val="2"/>
            <w:tcBorders>
              <w:left w:val="single" w:sz="6" w:space="0" w:color="000000" w:themeColor="text1"/>
              <w:bottom w:val="single" w:sz="4" w:space="0" w:color="auto"/>
              <w:right w:val="single" w:sz="6" w:space="0" w:color="000000" w:themeColor="text1"/>
            </w:tcBorders>
          </w:tcPr>
          <w:p w14:paraId="6DDD975C" w14:textId="77777777" w:rsidR="006658E1" w:rsidRDefault="006658E1" w:rsidP="006658E1">
            <w:pPr>
              <w:pStyle w:val="naisc"/>
              <w:spacing w:before="0" w:after="0"/>
              <w:rPr>
                <w:b/>
              </w:rPr>
            </w:pPr>
            <w:r>
              <w:rPr>
                <w:b/>
              </w:rPr>
              <w:t>Finanšu ministrija</w:t>
            </w:r>
          </w:p>
          <w:p w14:paraId="69048647" w14:textId="77777777" w:rsidR="006658E1" w:rsidRDefault="006658E1" w:rsidP="006658E1">
            <w:pPr>
              <w:pStyle w:val="naisc"/>
              <w:spacing w:before="0" w:after="0"/>
            </w:pPr>
            <w:r>
              <w:t>(07.01.2021. iebildums)</w:t>
            </w:r>
          </w:p>
          <w:p w14:paraId="6DA03452" w14:textId="77777777" w:rsidR="006658E1" w:rsidRPr="000646A4" w:rsidRDefault="006658E1" w:rsidP="006658E1">
            <w:pPr>
              <w:pStyle w:val="naisc"/>
              <w:jc w:val="both"/>
            </w:pPr>
            <w:r w:rsidRPr="000646A4">
              <w:t>Finanšu ministrijas informatīvajā ziņojumā Ministru kabinetam “</w:t>
            </w:r>
            <w:r w:rsidRPr="000646A4">
              <w:rPr>
                <w:i/>
                <w:iCs/>
              </w:rPr>
              <w:t>Par iekšējā audita darbību ministrijās un iestādēs 2019.gadā” (</w:t>
            </w:r>
            <w:hyperlink r:id="rId11" w:history="1">
              <w:r w:rsidRPr="000646A4">
                <w:rPr>
                  <w:rStyle w:val="Hyperlink"/>
                </w:rPr>
                <w:t>https://www.fm.gov.lv/lv/sadalas/iekseja_audita_politika/parskati/2019_gada/62791-2019-gada</w:t>
              </w:r>
            </w:hyperlink>
            <w:r w:rsidRPr="000646A4">
              <w:rPr>
                <w:i/>
                <w:iCs/>
              </w:rPr>
              <w:t xml:space="preserve">) </w:t>
            </w:r>
            <w:r w:rsidRPr="000646A4">
              <w:rPr>
                <w:iCs/>
              </w:rPr>
              <w:t xml:space="preserve">sniegta </w:t>
            </w:r>
            <w:r w:rsidRPr="000646A4">
              <w:t xml:space="preserve">informācija par valsts pārvaldes iekšējā audita struktūrvienību darbības rezultātiem 2019.gadā, kā arī kopējām problēmām un attīstības tendencēm un nepieciešamību pievērst lielāku uzmanību iekšējās kontroles sistēmas stiprināšanai un brieduma līmeņa celšanai, tostarp, risku vadības jautājumu sakārtošanai ministrijās, iestādēs un pašvaldībās, kā arī iekšējo auditoru kapacitātes un profesionālās kompetences celšanai atbilstoši mūsdienu mainīgās un daudzveidīgās vides prasībām. Abas pieminētās problēmas ir cieši saistītas un kopīgi jāattīsta, jo iekšējais audits ir viens no iekšējās kontroles sistēmas darbības atbilstības un efektivitātes nozīmīgākajiem uzraudzības instrumentiem. Lai nākotnē virzītos uz efektīvu un </w:t>
            </w:r>
            <w:r w:rsidRPr="000646A4">
              <w:lastRenderedPageBreak/>
              <w:t>produktīvu valsts pārvaldi, kurā veiksmīgi iedibināti un darbojas arī labas pārvaldības principi, svarīgi ir izveidot pamatu - iestādes darbības specifikai un mūsdienām atbilstošu, efektīvu iekšējās kontroles sistēmu. Tāpēc pie Stratēģijas 5.prioritātes “Cilvēkresursu profesionalizācija un administratīvās kapacitātes celšana” ierosinām izvirzīt jaunu mērķi:</w:t>
            </w:r>
          </w:p>
          <w:tbl>
            <w:tblPr>
              <w:tblStyle w:val="TableGrid"/>
              <w:tblW w:w="4877" w:type="pct"/>
              <w:tblLayout w:type="fixed"/>
              <w:tblLook w:val="04A0" w:firstRow="1" w:lastRow="0" w:firstColumn="1" w:lastColumn="0" w:noHBand="0" w:noVBand="1"/>
            </w:tblPr>
            <w:tblGrid>
              <w:gridCol w:w="633"/>
              <w:gridCol w:w="1275"/>
              <w:gridCol w:w="1313"/>
              <w:gridCol w:w="3506"/>
            </w:tblGrid>
            <w:tr w:rsidR="006658E1" w:rsidRPr="000646A4" w14:paraId="19BA4389" w14:textId="77777777" w:rsidTr="00371032">
              <w:tc>
                <w:tcPr>
                  <w:tcW w:w="470" w:type="pct"/>
                  <w:shd w:val="clear" w:color="auto" w:fill="E7E6E6" w:themeFill="background2"/>
                </w:tcPr>
                <w:p w14:paraId="36042886" w14:textId="77777777" w:rsidR="006658E1" w:rsidRPr="000646A4" w:rsidRDefault="006658E1" w:rsidP="006658E1">
                  <w:pPr>
                    <w:pStyle w:val="naisc"/>
                  </w:pPr>
                  <w:r w:rsidRPr="000646A4">
                    <w:t>Nr.</w:t>
                  </w:r>
                </w:p>
              </w:tc>
              <w:tc>
                <w:tcPr>
                  <w:tcW w:w="948" w:type="pct"/>
                  <w:shd w:val="clear" w:color="auto" w:fill="E7E6E6" w:themeFill="background2"/>
                </w:tcPr>
                <w:p w14:paraId="58936489" w14:textId="77777777" w:rsidR="006658E1" w:rsidRPr="000646A4" w:rsidRDefault="006658E1" w:rsidP="006658E1">
                  <w:pPr>
                    <w:pStyle w:val="naisc"/>
                  </w:pPr>
                  <w:r w:rsidRPr="000646A4">
                    <w:t>Mērķis</w:t>
                  </w:r>
                </w:p>
              </w:tc>
              <w:tc>
                <w:tcPr>
                  <w:tcW w:w="976" w:type="pct"/>
                  <w:shd w:val="clear" w:color="auto" w:fill="E7E6E6" w:themeFill="background2"/>
                </w:tcPr>
                <w:p w14:paraId="2984BD07" w14:textId="77777777" w:rsidR="006658E1" w:rsidRPr="000646A4" w:rsidRDefault="006658E1" w:rsidP="006658E1">
                  <w:pPr>
                    <w:pStyle w:val="naisc"/>
                  </w:pPr>
                  <w:r w:rsidRPr="000646A4">
                    <w:t>Iesaistītās puses</w:t>
                  </w:r>
                </w:p>
              </w:tc>
              <w:tc>
                <w:tcPr>
                  <w:tcW w:w="2607" w:type="pct"/>
                  <w:shd w:val="clear" w:color="auto" w:fill="E7E6E6" w:themeFill="background2"/>
                </w:tcPr>
                <w:p w14:paraId="6454868A" w14:textId="77777777" w:rsidR="006658E1" w:rsidRPr="000646A4" w:rsidRDefault="006658E1" w:rsidP="006658E1">
                  <w:pPr>
                    <w:pStyle w:val="naisc"/>
                  </w:pPr>
                  <w:r w:rsidRPr="000646A4">
                    <w:t>Darbības rezultāti</w:t>
                  </w:r>
                </w:p>
              </w:tc>
            </w:tr>
            <w:tr w:rsidR="006658E1" w:rsidRPr="000646A4" w14:paraId="65F3F92D" w14:textId="77777777" w:rsidTr="00371032">
              <w:tc>
                <w:tcPr>
                  <w:tcW w:w="470" w:type="pct"/>
                </w:tcPr>
                <w:p w14:paraId="19BDABB9" w14:textId="77777777" w:rsidR="006658E1" w:rsidRPr="000646A4" w:rsidRDefault="006658E1" w:rsidP="006658E1">
                  <w:pPr>
                    <w:pStyle w:val="naisc"/>
                  </w:pPr>
                  <w:r w:rsidRPr="000646A4">
                    <w:t>3.5.5.</w:t>
                  </w:r>
                </w:p>
              </w:tc>
              <w:tc>
                <w:tcPr>
                  <w:tcW w:w="948" w:type="pct"/>
                </w:tcPr>
                <w:p w14:paraId="1C71A097" w14:textId="77777777" w:rsidR="006658E1" w:rsidRPr="000646A4" w:rsidRDefault="006658E1" w:rsidP="006658E1">
                  <w:pPr>
                    <w:pStyle w:val="naisc"/>
                    <w:jc w:val="left"/>
                    <w:rPr>
                      <w:b/>
                      <w:bCs/>
                    </w:rPr>
                  </w:pPr>
                  <w:r w:rsidRPr="000646A4">
                    <w:rPr>
                      <w:b/>
                      <w:bCs/>
                    </w:rPr>
                    <w:t>Paaugstināt valsts pārvaldes iekšējās kontroles sistēmas brieduma līmeni.</w:t>
                  </w:r>
                </w:p>
              </w:tc>
              <w:tc>
                <w:tcPr>
                  <w:tcW w:w="976" w:type="pct"/>
                </w:tcPr>
                <w:p w14:paraId="4E2A862A" w14:textId="77777777" w:rsidR="006658E1" w:rsidRPr="000646A4" w:rsidRDefault="006658E1" w:rsidP="006658E1">
                  <w:pPr>
                    <w:pStyle w:val="naisc"/>
                    <w:jc w:val="left"/>
                  </w:pPr>
                  <w:r w:rsidRPr="000646A4">
                    <w:t>Valsts kanceleja, Finanšu ministrija, Valsts administrācijas skola</w:t>
                  </w:r>
                </w:p>
              </w:tc>
              <w:tc>
                <w:tcPr>
                  <w:tcW w:w="2607" w:type="pct"/>
                </w:tcPr>
                <w:p w14:paraId="5069D3C5" w14:textId="77777777" w:rsidR="006658E1" w:rsidRPr="000646A4" w:rsidRDefault="006658E1" w:rsidP="006658E1">
                  <w:pPr>
                    <w:pStyle w:val="naisc"/>
                    <w:numPr>
                      <w:ilvl w:val="0"/>
                      <w:numId w:val="6"/>
                    </w:numPr>
                    <w:spacing w:before="0" w:after="0"/>
                    <w:ind w:left="360"/>
                    <w:jc w:val="left"/>
                  </w:pPr>
                  <w:r w:rsidRPr="000646A4">
                    <w:t>Iestāžu un struktūrvienību vadītājiem veidota izpratne par iekšējās kontroles sistēmas ietvaru un principiem.</w:t>
                  </w:r>
                </w:p>
                <w:p w14:paraId="06EE1698" w14:textId="77777777" w:rsidR="006658E1" w:rsidRPr="000646A4" w:rsidRDefault="006658E1" w:rsidP="006658E1">
                  <w:pPr>
                    <w:pStyle w:val="naisc"/>
                    <w:numPr>
                      <w:ilvl w:val="0"/>
                      <w:numId w:val="6"/>
                    </w:numPr>
                    <w:spacing w:before="0" w:after="0"/>
                    <w:ind w:left="360"/>
                    <w:jc w:val="left"/>
                  </w:pPr>
                  <w:r w:rsidRPr="000646A4">
                    <w:t>Attīstīta riska vadība iestādēs.</w:t>
                  </w:r>
                </w:p>
                <w:p w14:paraId="76E57984" w14:textId="77777777" w:rsidR="006658E1" w:rsidRPr="000646A4" w:rsidRDefault="006658E1" w:rsidP="006658E1">
                  <w:pPr>
                    <w:pStyle w:val="naisc"/>
                    <w:numPr>
                      <w:ilvl w:val="0"/>
                      <w:numId w:val="6"/>
                    </w:numPr>
                    <w:spacing w:before="0" w:after="0"/>
                    <w:ind w:left="360"/>
                    <w:jc w:val="left"/>
                  </w:pPr>
                  <w:r w:rsidRPr="000646A4">
                    <w:t>Veidota izpratne par Trīs aizsardzības līniju modeli, kas integrēts iestādes iekšējā kontroles sistēmā.</w:t>
                  </w:r>
                </w:p>
                <w:p w14:paraId="5C73B4E9" w14:textId="77777777" w:rsidR="006658E1" w:rsidRPr="000646A4" w:rsidRDefault="006658E1" w:rsidP="006658E1">
                  <w:pPr>
                    <w:pStyle w:val="naisc"/>
                    <w:numPr>
                      <w:ilvl w:val="0"/>
                      <w:numId w:val="6"/>
                    </w:numPr>
                    <w:spacing w:before="0" w:after="0"/>
                    <w:ind w:left="360"/>
                    <w:jc w:val="left"/>
                  </w:pPr>
                  <w:r w:rsidRPr="000646A4">
                    <w:t>Attīstīts iekšējās kontroles sistēmas uzraudzības mehānisms.</w:t>
                  </w:r>
                </w:p>
                <w:p w14:paraId="5DF04781" w14:textId="77777777" w:rsidR="006658E1" w:rsidRPr="000646A4" w:rsidRDefault="006658E1" w:rsidP="006658E1">
                  <w:pPr>
                    <w:pStyle w:val="naisc"/>
                    <w:numPr>
                      <w:ilvl w:val="0"/>
                      <w:numId w:val="6"/>
                    </w:numPr>
                    <w:spacing w:before="0" w:after="0"/>
                    <w:ind w:left="360"/>
                    <w:jc w:val="left"/>
                  </w:pPr>
                  <w:r w:rsidRPr="000646A4">
                    <w:t>Apmācības, praktiskas darbnīcas, labās prakses piemēru pieredzes apmaiņa, lomu spēles.</w:t>
                  </w:r>
                </w:p>
              </w:tc>
            </w:tr>
          </w:tbl>
          <w:p w14:paraId="5BAB20F7" w14:textId="77777777" w:rsidR="006658E1" w:rsidRDefault="006658E1" w:rsidP="006658E1">
            <w:pPr>
              <w:pStyle w:val="naisc"/>
              <w:spacing w:before="0" w:after="0"/>
              <w:jc w:val="both"/>
              <w:rPr>
                <w:b/>
              </w:rPr>
            </w:pPr>
          </w:p>
        </w:tc>
        <w:tc>
          <w:tcPr>
            <w:tcW w:w="3427" w:type="dxa"/>
            <w:gridSpan w:val="2"/>
            <w:tcBorders>
              <w:left w:val="single" w:sz="6" w:space="0" w:color="000000" w:themeColor="text1"/>
              <w:bottom w:val="single" w:sz="4" w:space="0" w:color="auto"/>
              <w:right w:val="single" w:sz="6" w:space="0" w:color="000000" w:themeColor="text1"/>
            </w:tcBorders>
          </w:tcPr>
          <w:p w14:paraId="4F1C99F7" w14:textId="749D695B" w:rsidR="006658E1" w:rsidRPr="009D4684" w:rsidRDefault="006658E1" w:rsidP="006658E1">
            <w:pPr>
              <w:pStyle w:val="naisc"/>
              <w:spacing w:before="0" w:after="0"/>
              <w:jc w:val="both"/>
              <w:rPr>
                <w:b/>
                <w:bCs/>
              </w:rPr>
            </w:pPr>
            <w:r w:rsidRPr="009D4684">
              <w:rPr>
                <w:b/>
                <w:bCs/>
              </w:rPr>
              <w:lastRenderedPageBreak/>
              <w:t>Ņemts vērā</w:t>
            </w:r>
          </w:p>
        </w:tc>
        <w:tc>
          <w:tcPr>
            <w:tcW w:w="1934" w:type="dxa"/>
            <w:tcBorders>
              <w:top w:val="single" w:sz="4" w:space="0" w:color="auto"/>
              <w:left w:val="single" w:sz="4" w:space="0" w:color="auto"/>
              <w:bottom w:val="single" w:sz="4" w:space="0" w:color="auto"/>
            </w:tcBorders>
          </w:tcPr>
          <w:p w14:paraId="174B8AB3" w14:textId="5FA2E1ED" w:rsidR="006658E1" w:rsidRPr="00712B66" w:rsidRDefault="006658E1" w:rsidP="006658E1">
            <w:pPr>
              <w:jc w:val="both"/>
            </w:pPr>
            <w:r>
              <w:t>Skat. Plāna projekta 3.5. sadaļu un 2. pielikumu.</w:t>
            </w:r>
          </w:p>
        </w:tc>
      </w:tr>
      <w:tr w:rsidR="006658E1" w:rsidRPr="00712B66" w14:paraId="1828A67B" w14:textId="77777777" w:rsidTr="7E8539FD">
        <w:tc>
          <w:tcPr>
            <w:tcW w:w="673" w:type="dxa"/>
            <w:tcBorders>
              <w:left w:val="single" w:sz="6" w:space="0" w:color="000000" w:themeColor="text1"/>
              <w:bottom w:val="single" w:sz="4" w:space="0" w:color="auto"/>
              <w:right w:val="single" w:sz="6" w:space="0" w:color="000000" w:themeColor="text1"/>
            </w:tcBorders>
          </w:tcPr>
          <w:p w14:paraId="5D267C4C" w14:textId="06C71E7C" w:rsidR="006658E1" w:rsidRDefault="00F76D07" w:rsidP="006658E1">
            <w:pPr>
              <w:pStyle w:val="naisc"/>
              <w:spacing w:before="0" w:after="0"/>
            </w:pPr>
            <w:r>
              <w:t>7</w:t>
            </w:r>
            <w:r w:rsidR="006658E1">
              <w:t>.</w:t>
            </w:r>
          </w:p>
        </w:tc>
        <w:tc>
          <w:tcPr>
            <w:tcW w:w="1835" w:type="dxa"/>
            <w:tcBorders>
              <w:left w:val="single" w:sz="6" w:space="0" w:color="000000" w:themeColor="text1"/>
              <w:bottom w:val="single" w:sz="4" w:space="0" w:color="auto"/>
              <w:right w:val="single" w:sz="6" w:space="0" w:color="000000" w:themeColor="text1"/>
            </w:tcBorders>
          </w:tcPr>
          <w:p w14:paraId="287B69BF" w14:textId="77777777" w:rsidR="006658E1" w:rsidRPr="00712B66" w:rsidRDefault="006658E1" w:rsidP="006658E1">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21947AB6" w14:textId="77777777" w:rsidR="006658E1" w:rsidRDefault="006658E1" w:rsidP="006658E1">
            <w:pPr>
              <w:pStyle w:val="naisc"/>
              <w:spacing w:before="0" w:after="0"/>
              <w:rPr>
                <w:b/>
              </w:rPr>
            </w:pPr>
            <w:r>
              <w:rPr>
                <w:b/>
              </w:rPr>
              <w:t>Finanšu ministrija</w:t>
            </w:r>
          </w:p>
          <w:p w14:paraId="5834660B" w14:textId="77777777" w:rsidR="006658E1" w:rsidRDefault="006658E1" w:rsidP="006658E1">
            <w:pPr>
              <w:pStyle w:val="naisc"/>
              <w:spacing w:before="0" w:after="0"/>
            </w:pPr>
            <w:r>
              <w:t>(07.01.2021. iebildums)</w:t>
            </w:r>
          </w:p>
          <w:p w14:paraId="6D3B8A3C" w14:textId="77777777" w:rsidR="006658E1" w:rsidRDefault="006658E1" w:rsidP="006658E1">
            <w:pPr>
              <w:pStyle w:val="naisc"/>
              <w:spacing w:before="0" w:after="0"/>
              <w:jc w:val="both"/>
            </w:pPr>
          </w:p>
          <w:p w14:paraId="203322A0" w14:textId="77777777" w:rsidR="006658E1" w:rsidRPr="00EA2E3F" w:rsidRDefault="006658E1" w:rsidP="006658E1">
            <w:pPr>
              <w:pStyle w:val="naisc"/>
              <w:spacing w:before="0" w:after="0"/>
              <w:jc w:val="both"/>
            </w:pPr>
            <w:r w:rsidRPr="00EA2E3F">
              <w:t xml:space="preserve">Saskaņā ar Iekšējā audita likumu Finanšu ministrija kā valsts pārvaldes iekšējā audita politikas veidotāja koordinē iekšējo auditoru mācības un profesionālās kvalifikācijas paaugstināšanu un pārrauga iekšējo auditoru sertifikācijas sistēmu. Šie pasākumi šobrīd attiecas uz 23 iekšējā audita struktūrvienībām tiešajā valsts pārvaldē. Iekšējā auditora profesija ir </w:t>
            </w:r>
            <w:r w:rsidRPr="00EA2E3F">
              <w:lastRenderedPageBreak/>
              <w:t>saistīta ar aizvien lielākiem izaicinājumiem, ko nosaka plašais audita darba apjoms, izmaiņu temps risku vidē un tehnoloģiju progress. Lai izveidotu atbilstošu, vispusīgu, kvalitatīvu iekšējo auditoru profesionālās kvalifikācijas paaugstināšanas sistēmu, kura vienlīdz labi attīstītu iekšējā audita profesijai izvirzītās vispārīgās un specifiskās kompetences, ļoti svarīgi ir Stratēģijā atrunāt Finanšu ministrijas līdzdalību un iesaistīšanos mācību vajadzību definēšanas un plānošanas procesā un iekšējo auditoru kompetenču ietvara izveidē. Finanšu ministrija varēs sniegt pilnīgāku ieskatu un analīzi par iekšējo auditoru (ieskaitot vadītāju) kompetenču trūkumiem, starptautisko profesionālo organizāciju izvirzītajām prasībām, nākotnes vajadzībām profesijai un ieteiks piemērotākos risinājumus un pasākumus.</w:t>
            </w:r>
          </w:p>
        </w:tc>
        <w:tc>
          <w:tcPr>
            <w:tcW w:w="3427" w:type="dxa"/>
            <w:gridSpan w:val="2"/>
            <w:tcBorders>
              <w:left w:val="single" w:sz="6" w:space="0" w:color="000000" w:themeColor="text1"/>
              <w:bottom w:val="single" w:sz="4" w:space="0" w:color="auto"/>
              <w:right w:val="single" w:sz="6" w:space="0" w:color="000000" w:themeColor="text1"/>
            </w:tcBorders>
          </w:tcPr>
          <w:p w14:paraId="64C40D4B" w14:textId="55DFB740" w:rsidR="006658E1" w:rsidRPr="009D4684" w:rsidRDefault="006658E1" w:rsidP="006658E1">
            <w:pPr>
              <w:pStyle w:val="naisc"/>
              <w:spacing w:before="0" w:after="0"/>
              <w:jc w:val="both"/>
              <w:rPr>
                <w:b/>
                <w:bCs/>
              </w:rPr>
            </w:pPr>
            <w:r w:rsidRPr="009D4684">
              <w:rPr>
                <w:b/>
                <w:bCs/>
              </w:rPr>
              <w:lastRenderedPageBreak/>
              <w:t>Ņemts vērā</w:t>
            </w:r>
          </w:p>
        </w:tc>
        <w:tc>
          <w:tcPr>
            <w:tcW w:w="1934" w:type="dxa"/>
            <w:tcBorders>
              <w:top w:val="single" w:sz="4" w:space="0" w:color="auto"/>
              <w:left w:val="single" w:sz="4" w:space="0" w:color="auto"/>
              <w:bottom w:val="single" w:sz="4" w:space="0" w:color="auto"/>
            </w:tcBorders>
          </w:tcPr>
          <w:p w14:paraId="503EE6CA" w14:textId="083FB80F" w:rsidR="006658E1" w:rsidRPr="00712B66" w:rsidRDefault="006658E1" w:rsidP="006658E1">
            <w:pPr>
              <w:jc w:val="both"/>
            </w:pPr>
            <w:r>
              <w:t>Skat. Plāna projekta 4.1. sadaļu.</w:t>
            </w:r>
          </w:p>
        </w:tc>
      </w:tr>
      <w:tr w:rsidR="006658E1" w:rsidRPr="00712B66" w14:paraId="2A2704F1" w14:textId="77777777" w:rsidTr="7E8539FD">
        <w:tc>
          <w:tcPr>
            <w:tcW w:w="673" w:type="dxa"/>
            <w:tcBorders>
              <w:left w:val="single" w:sz="6" w:space="0" w:color="000000" w:themeColor="text1"/>
              <w:bottom w:val="single" w:sz="4" w:space="0" w:color="auto"/>
              <w:right w:val="single" w:sz="6" w:space="0" w:color="000000" w:themeColor="text1"/>
            </w:tcBorders>
          </w:tcPr>
          <w:p w14:paraId="6A878104" w14:textId="4EFE241C" w:rsidR="006658E1" w:rsidRDefault="00F76D07" w:rsidP="006658E1">
            <w:pPr>
              <w:pStyle w:val="naisc"/>
              <w:spacing w:before="0" w:after="0"/>
            </w:pPr>
            <w:r>
              <w:t>8</w:t>
            </w:r>
            <w:r w:rsidR="006658E1">
              <w:t>.</w:t>
            </w:r>
          </w:p>
        </w:tc>
        <w:tc>
          <w:tcPr>
            <w:tcW w:w="1835" w:type="dxa"/>
            <w:tcBorders>
              <w:left w:val="single" w:sz="6" w:space="0" w:color="000000" w:themeColor="text1"/>
              <w:bottom w:val="single" w:sz="4" w:space="0" w:color="auto"/>
              <w:right w:val="single" w:sz="6" w:space="0" w:color="000000" w:themeColor="text1"/>
            </w:tcBorders>
          </w:tcPr>
          <w:p w14:paraId="6B6D6977" w14:textId="77777777" w:rsidR="006658E1" w:rsidRPr="00712B66" w:rsidRDefault="006658E1" w:rsidP="006658E1">
            <w:pPr>
              <w:pStyle w:val="naisc"/>
              <w:spacing w:before="0" w:after="0"/>
              <w:jc w:val="both"/>
            </w:pPr>
            <w:r>
              <w:t>Skat. Ministru kabineta rīkojuma projektu.</w:t>
            </w:r>
          </w:p>
        </w:tc>
        <w:tc>
          <w:tcPr>
            <w:tcW w:w="7123" w:type="dxa"/>
            <w:gridSpan w:val="2"/>
            <w:tcBorders>
              <w:left w:val="single" w:sz="6" w:space="0" w:color="000000" w:themeColor="text1"/>
              <w:bottom w:val="single" w:sz="4" w:space="0" w:color="auto"/>
              <w:right w:val="single" w:sz="6" w:space="0" w:color="000000" w:themeColor="text1"/>
            </w:tcBorders>
          </w:tcPr>
          <w:p w14:paraId="5F73F376" w14:textId="77777777" w:rsidR="006658E1" w:rsidRDefault="006658E1" w:rsidP="006658E1">
            <w:pPr>
              <w:pStyle w:val="naisc"/>
              <w:spacing w:before="0" w:after="0"/>
              <w:rPr>
                <w:b/>
              </w:rPr>
            </w:pPr>
            <w:r>
              <w:rPr>
                <w:b/>
              </w:rPr>
              <w:t>Finanšu ministrija</w:t>
            </w:r>
          </w:p>
          <w:p w14:paraId="7E4FF22B" w14:textId="77777777" w:rsidR="006658E1" w:rsidRDefault="006658E1" w:rsidP="006658E1">
            <w:pPr>
              <w:pStyle w:val="naisc"/>
              <w:spacing w:before="0" w:after="0"/>
            </w:pPr>
            <w:r>
              <w:t>(07.01.2021. iebildums)</w:t>
            </w:r>
          </w:p>
          <w:p w14:paraId="5C0A68EF" w14:textId="77777777" w:rsidR="006658E1" w:rsidRDefault="006658E1" w:rsidP="006658E1">
            <w:pPr>
              <w:pStyle w:val="naisc"/>
              <w:spacing w:before="0" w:after="0"/>
              <w:rPr>
                <w:b/>
              </w:rPr>
            </w:pPr>
          </w:p>
          <w:p w14:paraId="166888D8" w14:textId="77777777" w:rsidR="006658E1" w:rsidRPr="00EA2E3F" w:rsidRDefault="006658E1" w:rsidP="006658E1">
            <w:pPr>
              <w:pStyle w:val="naisc"/>
              <w:spacing w:before="0" w:after="0"/>
              <w:jc w:val="both"/>
            </w:pPr>
            <w:r w:rsidRPr="00EA2E3F">
              <w:t xml:space="preserve">Norādām, ka atbilstoši likumam “Par valsts budžetu 2021.gadam” visi pieejamie līdzekļi ir sadalīti, līdz ar to stratēģijā paredzētos pasākumus 2021.gadā ministrijām jānodrošina piešķirto līdzekļu ietvaros, attiecīgi Ministru kabineta rīkojuma projekts jāpapildina ar jaunu punktu šādā redakcijā: </w:t>
            </w:r>
            <w:r w:rsidRPr="00EA2E3F">
              <w:rPr>
                <w:i/>
              </w:rPr>
              <w:t>“X. Stratēģijā ietverto pasākumu īstenošanu ministrijām 2021.gadā nodrošināt piešķirto valsts budžeta līdzekļu ietvaros.”.</w:t>
            </w:r>
          </w:p>
        </w:tc>
        <w:tc>
          <w:tcPr>
            <w:tcW w:w="3427" w:type="dxa"/>
            <w:gridSpan w:val="2"/>
            <w:tcBorders>
              <w:left w:val="single" w:sz="6" w:space="0" w:color="000000" w:themeColor="text1"/>
              <w:bottom w:val="single" w:sz="4" w:space="0" w:color="auto"/>
              <w:right w:val="single" w:sz="6" w:space="0" w:color="000000" w:themeColor="text1"/>
            </w:tcBorders>
          </w:tcPr>
          <w:p w14:paraId="43568F26" w14:textId="69D829DC" w:rsidR="006658E1" w:rsidRPr="00712B66" w:rsidRDefault="006658E1" w:rsidP="006658E1">
            <w:pPr>
              <w:pStyle w:val="naisc"/>
              <w:spacing w:before="0" w:after="0"/>
              <w:jc w:val="both"/>
              <w:rPr>
                <w:b/>
                <w:bCs/>
              </w:rPr>
            </w:pPr>
            <w:r w:rsidRPr="009D4684">
              <w:rPr>
                <w:b/>
                <w:bCs/>
              </w:rPr>
              <w:t>Ņemts vērā</w:t>
            </w:r>
          </w:p>
        </w:tc>
        <w:tc>
          <w:tcPr>
            <w:tcW w:w="1934" w:type="dxa"/>
            <w:tcBorders>
              <w:top w:val="single" w:sz="4" w:space="0" w:color="auto"/>
              <w:left w:val="single" w:sz="4" w:space="0" w:color="auto"/>
              <w:bottom w:val="single" w:sz="4" w:space="0" w:color="auto"/>
            </w:tcBorders>
          </w:tcPr>
          <w:p w14:paraId="6ABE85FC" w14:textId="202A868B" w:rsidR="006658E1" w:rsidRPr="00712B66" w:rsidRDefault="006658E1" w:rsidP="006658E1">
            <w:pPr>
              <w:jc w:val="both"/>
            </w:pPr>
            <w:r>
              <w:t>Skat. Ministru kabineta rīkojuma projektu.</w:t>
            </w:r>
          </w:p>
        </w:tc>
      </w:tr>
      <w:tr w:rsidR="006658E1" w:rsidRPr="00712B66" w14:paraId="1D9BEE1E" w14:textId="77777777" w:rsidTr="7E8539FD">
        <w:tc>
          <w:tcPr>
            <w:tcW w:w="673" w:type="dxa"/>
            <w:tcBorders>
              <w:left w:val="single" w:sz="6" w:space="0" w:color="000000" w:themeColor="text1"/>
              <w:bottom w:val="single" w:sz="4" w:space="0" w:color="auto"/>
              <w:right w:val="single" w:sz="6" w:space="0" w:color="000000" w:themeColor="text1"/>
            </w:tcBorders>
          </w:tcPr>
          <w:p w14:paraId="35F556B6" w14:textId="7CA3080C" w:rsidR="006658E1" w:rsidRDefault="00F76D07" w:rsidP="006658E1">
            <w:pPr>
              <w:pStyle w:val="naisc"/>
              <w:spacing w:before="0" w:after="0"/>
            </w:pPr>
            <w:r>
              <w:t>9</w:t>
            </w:r>
            <w:r w:rsidR="006658E1">
              <w:t>.</w:t>
            </w:r>
          </w:p>
        </w:tc>
        <w:tc>
          <w:tcPr>
            <w:tcW w:w="1835" w:type="dxa"/>
            <w:tcBorders>
              <w:left w:val="single" w:sz="6" w:space="0" w:color="000000" w:themeColor="text1"/>
              <w:bottom w:val="single" w:sz="4" w:space="0" w:color="auto"/>
              <w:right w:val="single" w:sz="6" w:space="0" w:color="000000" w:themeColor="text1"/>
            </w:tcBorders>
          </w:tcPr>
          <w:p w14:paraId="200C50B2" w14:textId="77777777" w:rsidR="006658E1" w:rsidRPr="00712B66" w:rsidRDefault="006658E1" w:rsidP="006658E1">
            <w:pPr>
              <w:pStyle w:val="naisc"/>
              <w:spacing w:before="0" w:after="0"/>
              <w:jc w:val="both"/>
            </w:pPr>
            <w:r>
              <w:t>Skat. Ministru kabineta rīkojuma projektu.</w:t>
            </w:r>
          </w:p>
        </w:tc>
        <w:tc>
          <w:tcPr>
            <w:tcW w:w="7123" w:type="dxa"/>
            <w:gridSpan w:val="2"/>
            <w:tcBorders>
              <w:left w:val="single" w:sz="6" w:space="0" w:color="000000" w:themeColor="text1"/>
              <w:bottom w:val="single" w:sz="4" w:space="0" w:color="auto"/>
              <w:right w:val="single" w:sz="6" w:space="0" w:color="000000" w:themeColor="text1"/>
            </w:tcBorders>
          </w:tcPr>
          <w:p w14:paraId="13808892" w14:textId="77777777" w:rsidR="006658E1" w:rsidRDefault="006658E1" w:rsidP="006658E1">
            <w:pPr>
              <w:pStyle w:val="naisc"/>
              <w:spacing w:before="0" w:after="0"/>
              <w:rPr>
                <w:b/>
              </w:rPr>
            </w:pPr>
            <w:r>
              <w:rPr>
                <w:b/>
              </w:rPr>
              <w:t>Finanšu ministrija</w:t>
            </w:r>
          </w:p>
          <w:p w14:paraId="4503FC97" w14:textId="77777777" w:rsidR="006658E1" w:rsidRDefault="006658E1" w:rsidP="006658E1">
            <w:pPr>
              <w:pStyle w:val="naisc"/>
              <w:spacing w:before="0" w:after="0"/>
            </w:pPr>
            <w:r>
              <w:t>(07.01.2021. iebildums)</w:t>
            </w:r>
          </w:p>
          <w:p w14:paraId="44FE057F" w14:textId="77777777" w:rsidR="006658E1" w:rsidRDefault="006658E1" w:rsidP="006658E1">
            <w:pPr>
              <w:pStyle w:val="naisc"/>
              <w:spacing w:before="0" w:after="0"/>
              <w:rPr>
                <w:b/>
              </w:rPr>
            </w:pPr>
          </w:p>
          <w:p w14:paraId="6025AE67" w14:textId="77777777" w:rsidR="006658E1" w:rsidRPr="00EA2E3F" w:rsidRDefault="006658E1" w:rsidP="006658E1">
            <w:pPr>
              <w:pStyle w:val="naisc"/>
              <w:spacing w:before="0" w:after="0"/>
              <w:jc w:val="both"/>
            </w:pPr>
            <w:r w:rsidRPr="00EA2E3F">
              <w:t xml:space="preserve">Ņemot vērā 4.pielikumā norādīto, ka stratēģijas īstenošanā ir plānots piesaistīt arī valsts budžeta līdzekļus, Ministru kabineta rīkojuma projekts jāpapildina ar jaunu punktu šādā redakcijā: </w:t>
            </w:r>
            <w:r w:rsidRPr="00EA2E3F">
              <w:rPr>
                <w:i/>
              </w:rPr>
              <w:t xml:space="preserve">“X. Jautājumu par papildu valsts budžeta līdzekļu piešķiršanu stratēģijā ietverto pasākumu īstenošanai 2022.gadam un turpmākiem gadiem izskatīt Ministru kabinetā gadskārtējā valsts budžeta likumprojekta un vidējā termiņa budžeta ietvara likumprojekta sagatavošanas procesā kopā ar visu ministriju un citu centrālo valsts iestāžu iesniegtajiem prioritāro </w:t>
            </w:r>
            <w:r w:rsidRPr="00EA2E3F">
              <w:rPr>
                <w:i/>
              </w:rPr>
              <w:lastRenderedPageBreak/>
              <w:t>pasākumu pieteikumiem atbilstoši valsts budžeta finansiālajām iespējām.”.</w:t>
            </w:r>
          </w:p>
        </w:tc>
        <w:tc>
          <w:tcPr>
            <w:tcW w:w="3427" w:type="dxa"/>
            <w:gridSpan w:val="2"/>
            <w:tcBorders>
              <w:left w:val="single" w:sz="6" w:space="0" w:color="000000" w:themeColor="text1"/>
              <w:bottom w:val="single" w:sz="4" w:space="0" w:color="auto"/>
              <w:right w:val="single" w:sz="6" w:space="0" w:color="000000" w:themeColor="text1"/>
            </w:tcBorders>
          </w:tcPr>
          <w:p w14:paraId="20A09A62" w14:textId="744CDDE5" w:rsidR="006658E1" w:rsidRPr="00712B66" w:rsidRDefault="006658E1" w:rsidP="006658E1">
            <w:pPr>
              <w:pStyle w:val="naisc"/>
              <w:spacing w:before="0" w:after="0"/>
              <w:jc w:val="both"/>
              <w:rPr>
                <w:b/>
                <w:bCs/>
              </w:rPr>
            </w:pPr>
            <w:r w:rsidRPr="009D4684">
              <w:rPr>
                <w:b/>
                <w:bCs/>
              </w:rPr>
              <w:lastRenderedPageBreak/>
              <w:t>Ņemts vērā</w:t>
            </w:r>
          </w:p>
        </w:tc>
        <w:tc>
          <w:tcPr>
            <w:tcW w:w="1934" w:type="dxa"/>
            <w:tcBorders>
              <w:top w:val="single" w:sz="4" w:space="0" w:color="auto"/>
              <w:left w:val="single" w:sz="4" w:space="0" w:color="auto"/>
              <w:bottom w:val="single" w:sz="4" w:space="0" w:color="auto"/>
            </w:tcBorders>
          </w:tcPr>
          <w:p w14:paraId="13F4218A" w14:textId="202A868B" w:rsidR="006658E1" w:rsidRPr="00712B66" w:rsidRDefault="006658E1" w:rsidP="006658E1">
            <w:pPr>
              <w:jc w:val="both"/>
            </w:pPr>
            <w:r>
              <w:t>Skat. Ministru kabineta rīkojuma projektu.</w:t>
            </w:r>
          </w:p>
          <w:p w14:paraId="4C4F69D5" w14:textId="16589611" w:rsidR="006658E1" w:rsidRPr="00712B66" w:rsidRDefault="006658E1" w:rsidP="006658E1">
            <w:pPr>
              <w:jc w:val="both"/>
            </w:pPr>
          </w:p>
        </w:tc>
      </w:tr>
      <w:tr w:rsidR="006658E1" w:rsidRPr="00712B66" w14:paraId="718FE641" w14:textId="77777777" w:rsidTr="7E8539FD">
        <w:tc>
          <w:tcPr>
            <w:tcW w:w="673" w:type="dxa"/>
            <w:tcBorders>
              <w:left w:val="single" w:sz="6" w:space="0" w:color="000000" w:themeColor="text1"/>
              <w:bottom w:val="single" w:sz="4" w:space="0" w:color="auto"/>
              <w:right w:val="single" w:sz="6" w:space="0" w:color="000000" w:themeColor="text1"/>
            </w:tcBorders>
          </w:tcPr>
          <w:p w14:paraId="020AB14B" w14:textId="5382C0BF" w:rsidR="006658E1" w:rsidRDefault="00F76D07" w:rsidP="006658E1">
            <w:pPr>
              <w:pStyle w:val="naisc"/>
              <w:spacing w:before="0" w:after="0"/>
            </w:pPr>
            <w:r>
              <w:t>10</w:t>
            </w:r>
            <w:r w:rsidR="006658E1">
              <w:t>.</w:t>
            </w:r>
          </w:p>
        </w:tc>
        <w:tc>
          <w:tcPr>
            <w:tcW w:w="1835" w:type="dxa"/>
            <w:tcBorders>
              <w:left w:val="single" w:sz="6" w:space="0" w:color="000000" w:themeColor="text1"/>
              <w:bottom w:val="single" w:sz="4" w:space="0" w:color="auto"/>
              <w:right w:val="single" w:sz="6" w:space="0" w:color="000000" w:themeColor="text1"/>
            </w:tcBorders>
          </w:tcPr>
          <w:p w14:paraId="6F404D28" w14:textId="77777777" w:rsidR="006658E1" w:rsidRDefault="006658E1" w:rsidP="006658E1">
            <w:pPr>
              <w:pStyle w:val="naisc"/>
              <w:spacing w:before="0" w:after="0"/>
              <w:jc w:val="both"/>
            </w:pPr>
            <w:r>
              <w:t>Skat. Plāna projekta 2.2. sadaļu.</w:t>
            </w:r>
          </w:p>
        </w:tc>
        <w:tc>
          <w:tcPr>
            <w:tcW w:w="7123" w:type="dxa"/>
            <w:gridSpan w:val="2"/>
            <w:tcBorders>
              <w:left w:val="single" w:sz="6" w:space="0" w:color="000000" w:themeColor="text1"/>
              <w:bottom w:val="single" w:sz="4" w:space="0" w:color="auto"/>
              <w:right w:val="single" w:sz="6" w:space="0" w:color="000000" w:themeColor="text1"/>
            </w:tcBorders>
          </w:tcPr>
          <w:p w14:paraId="10DCD93E" w14:textId="77777777" w:rsidR="006658E1" w:rsidRDefault="006658E1" w:rsidP="006658E1">
            <w:pPr>
              <w:pStyle w:val="naisc"/>
              <w:spacing w:before="0" w:after="0"/>
              <w:rPr>
                <w:b/>
              </w:rPr>
            </w:pPr>
            <w:r>
              <w:rPr>
                <w:b/>
              </w:rPr>
              <w:t>Aizsardzības ministrija</w:t>
            </w:r>
          </w:p>
          <w:p w14:paraId="0386E4B0" w14:textId="77777777" w:rsidR="006658E1" w:rsidRDefault="006658E1" w:rsidP="006658E1">
            <w:pPr>
              <w:pStyle w:val="naisc"/>
              <w:spacing w:before="0" w:after="0"/>
            </w:pPr>
            <w:r>
              <w:t>(07.01.2021. iebildums)</w:t>
            </w:r>
          </w:p>
          <w:p w14:paraId="68FFDA26" w14:textId="77777777" w:rsidR="006658E1" w:rsidRDefault="006658E1" w:rsidP="006658E1">
            <w:pPr>
              <w:pStyle w:val="naisc"/>
              <w:spacing w:before="0" w:after="0"/>
            </w:pPr>
          </w:p>
          <w:p w14:paraId="3A60D612" w14:textId="77777777" w:rsidR="006658E1" w:rsidRDefault="006658E1" w:rsidP="006658E1">
            <w:pPr>
              <w:pStyle w:val="naisc"/>
              <w:jc w:val="both"/>
            </w:pPr>
            <w:r>
              <w:t xml:space="preserve">Par plāna projekta sadaļu 2.2. “Stratēģijas pamatprincipi” (18.lpp.): </w:t>
            </w:r>
          </w:p>
          <w:p w14:paraId="30014A74" w14:textId="77777777" w:rsidR="006658E1" w:rsidRPr="00373903" w:rsidRDefault="006658E1" w:rsidP="006658E1">
            <w:pPr>
              <w:pStyle w:val="naisc"/>
              <w:jc w:val="both"/>
              <w:rPr>
                <w:i/>
              </w:rPr>
            </w:pPr>
            <w:r w:rsidRPr="00373903">
              <w:rPr>
                <w:i/>
              </w:rPr>
              <w:t>[...] “Tāpat publiskā pārvalde ir kompetenta radīt jaunajai digitālajai sabiedrībai un procesiem atbilstošu regulējumu, darbības modeļus un platformas, kas veicina tautsaimniecības un sabiedrības izaugsmi un ir atbalstoši, nevis ierobežojoši digitālās drošības jomā.”</w:t>
            </w:r>
          </w:p>
          <w:p w14:paraId="3C921CC8" w14:textId="77777777" w:rsidR="006658E1" w:rsidRPr="00373903" w:rsidRDefault="006658E1" w:rsidP="006658E1">
            <w:pPr>
              <w:pStyle w:val="naisc"/>
              <w:spacing w:before="0" w:after="0"/>
              <w:jc w:val="both"/>
            </w:pPr>
            <w:r>
              <w:t>Regulējums informācijas tehnoloģiju drošības jomā ir nepieciešams, lai nodrošinātu informācijas tehnoloģiju risinājuma integritāti, pieejamību un konfidencialitāti, un ir priekšnoteikums risinājumu attīstībai un sabiedrības uzticībai tiem. Attiecīgi regulējums drošības jomā pēc savas būtības ir ierobežojošs. Ņemot vērā iepriekš minēto, AM ierosina svītrot tekstu aiz vārdiem “sabiedrības izaugsmi”.</w:t>
            </w:r>
          </w:p>
        </w:tc>
        <w:tc>
          <w:tcPr>
            <w:tcW w:w="3427" w:type="dxa"/>
            <w:gridSpan w:val="2"/>
            <w:tcBorders>
              <w:left w:val="single" w:sz="6" w:space="0" w:color="000000" w:themeColor="text1"/>
              <w:bottom w:val="single" w:sz="4" w:space="0" w:color="auto"/>
              <w:right w:val="single" w:sz="6" w:space="0" w:color="000000" w:themeColor="text1"/>
            </w:tcBorders>
          </w:tcPr>
          <w:p w14:paraId="4C66F9ED" w14:textId="0286015F" w:rsidR="006658E1" w:rsidRPr="009D4684" w:rsidRDefault="006658E1" w:rsidP="006658E1">
            <w:pPr>
              <w:pStyle w:val="naisc"/>
              <w:spacing w:before="0" w:after="0"/>
              <w:jc w:val="both"/>
              <w:rPr>
                <w:b/>
                <w:bCs/>
                <w:color w:val="FF0000"/>
              </w:rPr>
            </w:pPr>
            <w:r w:rsidRPr="009D4684">
              <w:rPr>
                <w:b/>
                <w:bCs/>
              </w:rPr>
              <w:t>Ņemts vērā</w:t>
            </w:r>
          </w:p>
        </w:tc>
        <w:tc>
          <w:tcPr>
            <w:tcW w:w="1934" w:type="dxa"/>
            <w:tcBorders>
              <w:top w:val="single" w:sz="4" w:space="0" w:color="auto"/>
              <w:left w:val="single" w:sz="4" w:space="0" w:color="auto"/>
              <w:bottom w:val="single" w:sz="4" w:space="0" w:color="auto"/>
            </w:tcBorders>
          </w:tcPr>
          <w:p w14:paraId="258EC7B3" w14:textId="5DF46409" w:rsidR="006658E1" w:rsidRPr="00712B66" w:rsidRDefault="006658E1" w:rsidP="006658E1">
            <w:pPr>
              <w:jc w:val="both"/>
            </w:pPr>
            <w:r>
              <w:t>Skat. Plāna projekta 2.2. sadaļu.</w:t>
            </w:r>
          </w:p>
        </w:tc>
      </w:tr>
      <w:tr w:rsidR="006658E1" w:rsidRPr="00712B66" w14:paraId="77F0E517" w14:textId="77777777" w:rsidTr="7E8539FD">
        <w:tc>
          <w:tcPr>
            <w:tcW w:w="673" w:type="dxa"/>
            <w:tcBorders>
              <w:left w:val="single" w:sz="6" w:space="0" w:color="000000" w:themeColor="text1"/>
              <w:bottom w:val="single" w:sz="4" w:space="0" w:color="auto"/>
              <w:right w:val="single" w:sz="6" w:space="0" w:color="000000" w:themeColor="text1"/>
            </w:tcBorders>
          </w:tcPr>
          <w:p w14:paraId="38814FB6" w14:textId="7D063AE6" w:rsidR="006658E1" w:rsidRDefault="00F76D07" w:rsidP="006658E1">
            <w:pPr>
              <w:pStyle w:val="naisc"/>
              <w:spacing w:before="0" w:after="0"/>
            </w:pPr>
            <w:r>
              <w:t>11</w:t>
            </w:r>
            <w:r w:rsidR="006658E1">
              <w:t>.</w:t>
            </w:r>
          </w:p>
        </w:tc>
        <w:tc>
          <w:tcPr>
            <w:tcW w:w="1835" w:type="dxa"/>
            <w:tcBorders>
              <w:left w:val="single" w:sz="6" w:space="0" w:color="000000" w:themeColor="text1"/>
              <w:bottom w:val="single" w:sz="4" w:space="0" w:color="auto"/>
              <w:right w:val="single" w:sz="6" w:space="0" w:color="000000" w:themeColor="text1"/>
            </w:tcBorders>
          </w:tcPr>
          <w:p w14:paraId="53DBDBF2" w14:textId="77777777" w:rsidR="006658E1" w:rsidRDefault="006658E1" w:rsidP="006658E1">
            <w:pPr>
              <w:pStyle w:val="naisc"/>
              <w:spacing w:before="0" w:after="0"/>
              <w:jc w:val="both"/>
            </w:pPr>
            <w:r>
              <w:t>Skat. Plāna projekta 2.2. sadaļu.</w:t>
            </w:r>
          </w:p>
        </w:tc>
        <w:tc>
          <w:tcPr>
            <w:tcW w:w="7123" w:type="dxa"/>
            <w:gridSpan w:val="2"/>
            <w:tcBorders>
              <w:left w:val="single" w:sz="6" w:space="0" w:color="000000" w:themeColor="text1"/>
              <w:bottom w:val="single" w:sz="4" w:space="0" w:color="auto"/>
              <w:right w:val="single" w:sz="6" w:space="0" w:color="000000" w:themeColor="text1"/>
            </w:tcBorders>
          </w:tcPr>
          <w:p w14:paraId="3491C328" w14:textId="77777777" w:rsidR="006658E1" w:rsidRDefault="006658E1" w:rsidP="006658E1">
            <w:pPr>
              <w:pStyle w:val="naisc"/>
              <w:spacing w:before="0" w:after="0"/>
              <w:rPr>
                <w:b/>
              </w:rPr>
            </w:pPr>
            <w:r>
              <w:rPr>
                <w:b/>
              </w:rPr>
              <w:t>Aizsardzības ministrija</w:t>
            </w:r>
          </w:p>
          <w:p w14:paraId="56F8B31E" w14:textId="77777777" w:rsidR="006658E1" w:rsidRDefault="006658E1" w:rsidP="006658E1">
            <w:pPr>
              <w:pStyle w:val="naisc"/>
              <w:spacing w:before="0" w:after="0"/>
            </w:pPr>
            <w:r>
              <w:t>(07.01.2021. iebildums)</w:t>
            </w:r>
          </w:p>
          <w:p w14:paraId="1DFC5AB8" w14:textId="77777777" w:rsidR="006658E1" w:rsidRDefault="006658E1" w:rsidP="006658E1">
            <w:pPr>
              <w:pStyle w:val="naisc"/>
              <w:spacing w:before="0" w:after="0"/>
              <w:jc w:val="both"/>
            </w:pPr>
          </w:p>
          <w:p w14:paraId="75310FFE" w14:textId="77777777" w:rsidR="006658E1" w:rsidRPr="00373903" w:rsidRDefault="006658E1" w:rsidP="006658E1">
            <w:pPr>
              <w:pStyle w:val="naisc"/>
              <w:spacing w:after="0"/>
              <w:jc w:val="both"/>
              <w:rPr>
                <w:i/>
                <w:iCs/>
              </w:rPr>
            </w:pPr>
            <w:r w:rsidRPr="00373903">
              <w:t>Plāna projekta sadaļas 2.2. “Stratēģijas pamatprincipi” (18.lpp.) teikumu “</w:t>
            </w:r>
            <w:r w:rsidRPr="00373903">
              <w:rPr>
                <w:i/>
                <w:iCs/>
              </w:rPr>
              <w:t xml:space="preserve">Publiskajā pārvaldē nodarbinātie ir digitāli prasmīgi un izglītoti digitālās transformācijas jomā, ir prasmīgi pielietot modernās tehnoloģijas publisko funkciju efektīvākas un augstākas kvalitātes nodrošināšanā, kā arī prasmīgi pakalpojumu, kā arī e-risinājumu sniegšanā, veicinot digitālo risinājumu patstāvīgu izmantošanu iedzīvotāju un uzņēmēju vidū.” </w:t>
            </w:r>
            <w:r w:rsidRPr="00373903">
              <w:t>aiz vārdiem</w:t>
            </w:r>
            <w:r w:rsidRPr="00373903">
              <w:rPr>
                <w:i/>
                <w:iCs/>
              </w:rPr>
              <w:t xml:space="preserve"> “digitāli prasmīgi”, </w:t>
            </w:r>
            <w:r w:rsidRPr="00373903">
              <w:t>papildināt ar vārdiem</w:t>
            </w:r>
            <w:r w:rsidRPr="00373903">
              <w:rPr>
                <w:i/>
                <w:iCs/>
              </w:rPr>
              <w:t xml:space="preserve"> “</w:t>
            </w:r>
            <w:r w:rsidRPr="00373903">
              <w:rPr>
                <w:i/>
                <w:iCs/>
                <w:u w:val="single"/>
              </w:rPr>
              <w:t>zinoši digitālās drošības jautājumos</w:t>
            </w:r>
            <w:r w:rsidRPr="00373903">
              <w:rPr>
                <w:i/>
                <w:iCs/>
              </w:rPr>
              <w:t>”.</w:t>
            </w:r>
          </w:p>
        </w:tc>
        <w:tc>
          <w:tcPr>
            <w:tcW w:w="3427" w:type="dxa"/>
            <w:gridSpan w:val="2"/>
            <w:tcBorders>
              <w:left w:val="single" w:sz="6" w:space="0" w:color="000000" w:themeColor="text1"/>
              <w:bottom w:val="single" w:sz="4" w:space="0" w:color="auto"/>
              <w:right w:val="single" w:sz="6" w:space="0" w:color="000000" w:themeColor="text1"/>
            </w:tcBorders>
          </w:tcPr>
          <w:p w14:paraId="763F8A97" w14:textId="69EF5B4C" w:rsidR="006658E1" w:rsidRPr="009D4684" w:rsidRDefault="006658E1" w:rsidP="006658E1">
            <w:pPr>
              <w:pStyle w:val="naisc"/>
              <w:spacing w:before="0" w:after="0"/>
              <w:jc w:val="both"/>
              <w:rPr>
                <w:b/>
                <w:bCs/>
              </w:rPr>
            </w:pPr>
            <w:r w:rsidRPr="009D4684">
              <w:rPr>
                <w:b/>
                <w:bCs/>
              </w:rPr>
              <w:t>Ņemts vērā</w:t>
            </w:r>
          </w:p>
        </w:tc>
        <w:tc>
          <w:tcPr>
            <w:tcW w:w="1934" w:type="dxa"/>
            <w:tcBorders>
              <w:top w:val="single" w:sz="4" w:space="0" w:color="auto"/>
              <w:left w:val="single" w:sz="4" w:space="0" w:color="auto"/>
              <w:bottom w:val="single" w:sz="4" w:space="0" w:color="auto"/>
            </w:tcBorders>
          </w:tcPr>
          <w:p w14:paraId="7EB4C4DA" w14:textId="1F853987" w:rsidR="006658E1" w:rsidRPr="00712B66" w:rsidRDefault="006658E1" w:rsidP="006658E1">
            <w:pPr>
              <w:jc w:val="both"/>
            </w:pPr>
            <w:r>
              <w:t>Skat. Plāna projekta 2.2. sadaļu.</w:t>
            </w:r>
          </w:p>
        </w:tc>
      </w:tr>
      <w:tr w:rsidR="006658E1" w:rsidRPr="00712B66" w14:paraId="2304007D" w14:textId="77777777" w:rsidTr="7E8539FD">
        <w:tc>
          <w:tcPr>
            <w:tcW w:w="673" w:type="dxa"/>
            <w:tcBorders>
              <w:left w:val="single" w:sz="6" w:space="0" w:color="000000" w:themeColor="text1"/>
              <w:bottom w:val="single" w:sz="4" w:space="0" w:color="auto"/>
              <w:right w:val="single" w:sz="6" w:space="0" w:color="000000" w:themeColor="text1"/>
            </w:tcBorders>
          </w:tcPr>
          <w:p w14:paraId="6F9193F8" w14:textId="0FF886F4" w:rsidR="006658E1" w:rsidRDefault="00F76D07" w:rsidP="006658E1">
            <w:pPr>
              <w:pStyle w:val="naisc"/>
              <w:spacing w:before="0" w:after="0"/>
            </w:pPr>
            <w:r>
              <w:t>12</w:t>
            </w:r>
            <w:r w:rsidR="006658E1">
              <w:t>.</w:t>
            </w:r>
          </w:p>
        </w:tc>
        <w:tc>
          <w:tcPr>
            <w:tcW w:w="1835" w:type="dxa"/>
            <w:tcBorders>
              <w:left w:val="single" w:sz="6" w:space="0" w:color="000000" w:themeColor="text1"/>
              <w:bottom w:val="single" w:sz="4" w:space="0" w:color="auto"/>
              <w:right w:val="single" w:sz="6" w:space="0" w:color="000000" w:themeColor="text1"/>
            </w:tcBorders>
          </w:tcPr>
          <w:p w14:paraId="3EE69199" w14:textId="77777777" w:rsidR="006658E1" w:rsidRDefault="006658E1" w:rsidP="006658E1">
            <w:pPr>
              <w:pStyle w:val="naisc"/>
              <w:spacing w:before="0" w:after="0"/>
              <w:jc w:val="both"/>
            </w:pPr>
            <w:r>
              <w:t>Skat. Plāna projekta 2.2. sadaļu.</w:t>
            </w:r>
          </w:p>
        </w:tc>
        <w:tc>
          <w:tcPr>
            <w:tcW w:w="7123" w:type="dxa"/>
            <w:gridSpan w:val="2"/>
            <w:tcBorders>
              <w:left w:val="single" w:sz="6" w:space="0" w:color="000000" w:themeColor="text1"/>
              <w:bottom w:val="single" w:sz="4" w:space="0" w:color="auto"/>
              <w:right w:val="single" w:sz="6" w:space="0" w:color="000000" w:themeColor="text1"/>
            </w:tcBorders>
          </w:tcPr>
          <w:p w14:paraId="2E6C61D7" w14:textId="77777777" w:rsidR="006658E1" w:rsidRDefault="006658E1" w:rsidP="006658E1">
            <w:pPr>
              <w:pStyle w:val="naisc"/>
              <w:spacing w:before="0" w:after="0"/>
              <w:rPr>
                <w:b/>
              </w:rPr>
            </w:pPr>
            <w:r>
              <w:rPr>
                <w:b/>
              </w:rPr>
              <w:t>Aizsardzības ministrija</w:t>
            </w:r>
          </w:p>
          <w:p w14:paraId="0EF244FB" w14:textId="77777777" w:rsidR="006658E1" w:rsidRDefault="006658E1" w:rsidP="006658E1">
            <w:pPr>
              <w:pStyle w:val="naisc"/>
              <w:spacing w:before="0" w:after="0"/>
            </w:pPr>
            <w:r>
              <w:t>(07.01.2021. iebildums)</w:t>
            </w:r>
          </w:p>
          <w:p w14:paraId="7F4D1CC8" w14:textId="77777777" w:rsidR="006658E1" w:rsidRDefault="006658E1" w:rsidP="006658E1">
            <w:pPr>
              <w:pStyle w:val="naisc"/>
              <w:spacing w:before="0" w:after="0"/>
              <w:jc w:val="both"/>
            </w:pPr>
          </w:p>
          <w:p w14:paraId="4C562F6C" w14:textId="77777777" w:rsidR="006658E1" w:rsidRPr="00371032" w:rsidRDefault="006658E1" w:rsidP="006658E1">
            <w:pPr>
              <w:pStyle w:val="naisc"/>
              <w:spacing w:after="0"/>
              <w:jc w:val="both"/>
            </w:pPr>
            <w:r w:rsidRPr="00373903">
              <w:t>Plāna projekta sadaļas 2.2. “Stratēģijas pamatprincipi” (18.lpp.) teikumu “</w:t>
            </w:r>
            <w:r w:rsidRPr="00373903">
              <w:rPr>
                <w:i/>
                <w:iCs/>
              </w:rPr>
              <w:t xml:space="preserve">Publiskajā pārvaldē darbojas “digitālie aģenti”, kas klientiem sniedz </w:t>
            </w:r>
            <w:r w:rsidRPr="00373903">
              <w:rPr>
                <w:i/>
                <w:iCs/>
              </w:rPr>
              <w:lastRenderedPageBreak/>
              <w:t>padomus un palīdz e-pakalpojumu un dažādu digitālo rīku lietošanā, lai ikviens neatkarīgi no digitālajām prasmēm spētu saņemt sev nepieciešamos pakalpojumus elektroniski.</w:t>
            </w:r>
            <w:r w:rsidRPr="00373903">
              <w:t>” aiz vārdiem “dažādu digitālo rīku”, papildināt ar vārdu “</w:t>
            </w:r>
            <w:r w:rsidRPr="00373903">
              <w:rPr>
                <w:i/>
                <w:iCs/>
                <w:u w:val="single"/>
              </w:rPr>
              <w:t>drošā</w:t>
            </w:r>
            <w:r w:rsidRPr="00373903">
              <w:t>”.</w:t>
            </w:r>
          </w:p>
        </w:tc>
        <w:tc>
          <w:tcPr>
            <w:tcW w:w="3427" w:type="dxa"/>
            <w:gridSpan w:val="2"/>
            <w:tcBorders>
              <w:left w:val="single" w:sz="6" w:space="0" w:color="000000" w:themeColor="text1"/>
              <w:bottom w:val="single" w:sz="4" w:space="0" w:color="auto"/>
              <w:right w:val="single" w:sz="6" w:space="0" w:color="000000" w:themeColor="text1"/>
            </w:tcBorders>
          </w:tcPr>
          <w:p w14:paraId="21662B5C" w14:textId="25E8B392" w:rsidR="006658E1" w:rsidRPr="009D4684" w:rsidRDefault="006658E1" w:rsidP="006658E1">
            <w:pPr>
              <w:pStyle w:val="naisc"/>
              <w:spacing w:before="0" w:after="0"/>
              <w:jc w:val="both"/>
              <w:rPr>
                <w:b/>
                <w:bCs/>
              </w:rPr>
            </w:pPr>
            <w:r w:rsidRPr="009D4684">
              <w:rPr>
                <w:b/>
                <w:bCs/>
              </w:rPr>
              <w:lastRenderedPageBreak/>
              <w:t>Ņemts vērā</w:t>
            </w:r>
          </w:p>
        </w:tc>
        <w:tc>
          <w:tcPr>
            <w:tcW w:w="1934" w:type="dxa"/>
            <w:tcBorders>
              <w:top w:val="single" w:sz="4" w:space="0" w:color="auto"/>
              <w:left w:val="single" w:sz="4" w:space="0" w:color="auto"/>
              <w:bottom w:val="single" w:sz="4" w:space="0" w:color="auto"/>
            </w:tcBorders>
          </w:tcPr>
          <w:p w14:paraId="679A3C31" w14:textId="4804B005" w:rsidR="006658E1" w:rsidRPr="00712B66" w:rsidRDefault="006658E1" w:rsidP="006658E1">
            <w:pPr>
              <w:jc w:val="both"/>
            </w:pPr>
            <w:r>
              <w:t>Skat. Plāna projekta 2.2. sadaļu.</w:t>
            </w:r>
          </w:p>
        </w:tc>
      </w:tr>
      <w:tr w:rsidR="006658E1" w:rsidRPr="00712B66" w14:paraId="304FDFE9" w14:textId="77777777" w:rsidTr="7E8539FD">
        <w:tc>
          <w:tcPr>
            <w:tcW w:w="673" w:type="dxa"/>
            <w:tcBorders>
              <w:left w:val="single" w:sz="6" w:space="0" w:color="000000" w:themeColor="text1"/>
              <w:bottom w:val="single" w:sz="4" w:space="0" w:color="auto"/>
              <w:right w:val="single" w:sz="6" w:space="0" w:color="000000" w:themeColor="text1"/>
            </w:tcBorders>
          </w:tcPr>
          <w:p w14:paraId="6B938955" w14:textId="4C0FAFB5" w:rsidR="006658E1" w:rsidRDefault="00F76D07" w:rsidP="006658E1">
            <w:pPr>
              <w:pStyle w:val="naisc"/>
              <w:spacing w:before="0" w:after="0"/>
            </w:pPr>
            <w:r>
              <w:t>13</w:t>
            </w:r>
            <w:r w:rsidR="006658E1">
              <w:t>.</w:t>
            </w:r>
          </w:p>
        </w:tc>
        <w:tc>
          <w:tcPr>
            <w:tcW w:w="1835" w:type="dxa"/>
            <w:tcBorders>
              <w:left w:val="single" w:sz="6" w:space="0" w:color="000000" w:themeColor="text1"/>
              <w:bottom w:val="single" w:sz="4" w:space="0" w:color="auto"/>
              <w:right w:val="single" w:sz="6" w:space="0" w:color="000000" w:themeColor="text1"/>
            </w:tcBorders>
          </w:tcPr>
          <w:p w14:paraId="16087E7D" w14:textId="77777777" w:rsidR="006658E1" w:rsidRDefault="006658E1" w:rsidP="006658E1">
            <w:pPr>
              <w:pStyle w:val="naisc"/>
              <w:spacing w:before="0" w:after="0"/>
              <w:jc w:val="both"/>
            </w:pPr>
            <w:r>
              <w:t>Skat. Plāna projekta 3.4. sadaļu.</w:t>
            </w:r>
          </w:p>
        </w:tc>
        <w:tc>
          <w:tcPr>
            <w:tcW w:w="7123" w:type="dxa"/>
            <w:gridSpan w:val="2"/>
            <w:tcBorders>
              <w:left w:val="single" w:sz="6" w:space="0" w:color="000000" w:themeColor="text1"/>
              <w:bottom w:val="single" w:sz="4" w:space="0" w:color="auto"/>
              <w:right w:val="single" w:sz="6" w:space="0" w:color="000000" w:themeColor="text1"/>
            </w:tcBorders>
          </w:tcPr>
          <w:p w14:paraId="5EE93795" w14:textId="77777777" w:rsidR="006658E1" w:rsidRDefault="006658E1" w:rsidP="006658E1">
            <w:pPr>
              <w:pStyle w:val="naisc"/>
              <w:spacing w:before="0" w:after="0"/>
              <w:rPr>
                <w:b/>
              </w:rPr>
            </w:pPr>
            <w:r>
              <w:rPr>
                <w:b/>
              </w:rPr>
              <w:t>Aizsardzības ministrija</w:t>
            </w:r>
          </w:p>
          <w:p w14:paraId="3406357B" w14:textId="77777777" w:rsidR="006658E1" w:rsidRDefault="006658E1" w:rsidP="006658E1">
            <w:pPr>
              <w:pStyle w:val="naisc"/>
              <w:spacing w:before="0" w:after="0"/>
            </w:pPr>
            <w:r>
              <w:t>(07.01.2021. iebildums)</w:t>
            </w:r>
          </w:p>
          <w:p w14:paraId="6D3E8E2A" w14:textId="77777777" w:rsidR="006658E1" w:rsidRDefault="006658E1" w:rsidP="006658E1">
            <w:pPr>
              <w:pStyle w:val="naisc"/>
              <w:spacing w:before="0" w:after="0"/>
              <w:rPr>
                <w:b/>
              </w:rPr>
            </w:pPr>
          </w:p>
          <w:p w14:paraId="13E0E356" w14:textId="77777777" w:rsidR="006658E1" w:rsidRPr="00373903" w:rsidRDefault="006658E1" w:rsidP="006658E1">
            <w:pPr>
              <w:pStyle w:val="naisc"/>
              <w:spacing w:after="0"/>
              <w:jc w:val="both"/>
            </w:pPr>
            <w:r w:rsidRPr="00373903">
              <w:t>Plāna projekta sadaļas 3.4. “Digitālā transformācija” 1.rindkopā:</w:t>
            </w:r>
          </w:p>
          <w:p w14:paraId="357E1A4F" w14:textId="77777777" w:rsidR="006658E1" w:rsidRPr="00373903" w:rsidRDefault="006658E1" w:rsidP="006658E1">
            <w:pPr>
              <w:pStyle w:val="naisc"/>
              <w:jc w:val="both"/>
            </w:pPr>
            <w:r w:rsidRPr="00373903">
              <w:t>- tekstu “</w:t>
            </w:r>
            <w:r w:rsidRPr="00373903">
              <w:rPr>
                <w:i/>
                <w:iCs/>
              </w:rPr>
              <w:t>Inovatīvu produktu</w:t>
            </w:r>
            <w:r w:rsidRPr="00373903">
              <w:t>” izteikt šādā redakcijā “</w:t>
            </w:r>
            <w:r w:rsidRPr="00373903">
              <w:rPr>
                <w:i/>
                <w:iCs/>
                <w:u w:val="single"/>
              </w:rPr>
              <w:t>inovatīvu un drošu produktu</w:t>
            </w:r>
            <w:r w:rsidRPr="00373903">
              <w:t>”;</w:t>
            </w:r>
          </w:p>
          <w:p w14:paraId="41C407CA" w14:textId="77777777" w:rsidR="006658E1" w:rsidRPr="00373903" w:rsidRDefault="006658E1" w:rsidP="006658E1">
            <w:pPr>
              <w:pStyle w:val="naisc"/>
              <w:jc w:val="both"/>
            </w:pPr>
            <w:r w:rsidRPr="00373903">
              <w:t>- papildināt ar teikumu šādā redakcijā: “</w:t>
            </w:r>
            <w:r w:rsidRPr="00373903">
              <w:rPr>
                <w:i/>
                <w:iCs/>
                <w:u w:val="single"/>
              </w:rPr>
              <w:t>Drošu tehnoloģiju radīšana un izmantošana nodrošina valsts, sabiedrības un katra tās locekļa aizsardzību un veicina uzticību digitālo risinājumu plašai izmantošanai</w:t>
            </w:r>
            <w:r w:rsidRPr="00373903">
              <w:rPr>
                <w:i/>
                <w:iCs/>
              </w:rPr>
              <w:t>.</w:t>
            </w:r>
            <w:r w:rsidRPr="00373903">
              <w:t>”.</w:t>
            </w:r>
          </w:p>
        </w:tc>
        <w:tc>
          <w:tcPr>
            <w:tcW w:w="3427" w:type="dxa"/>
            <w:gridSpan w:val="2"/>
            <w:tcBorders>
              <w:left w:val="single" w:sz="6" w:space="0" w:color="000000" w:themeColor="text1"/>
              <w:bottom w:val="single" w:sz="4" w:space="0" w:color="auto"/>
              <w:right w:val="single" w:sz="6" w:space="0" w:color="000000" w:themeColor="text1"/>
            </w:tcBorders>
          </w:tcPr>
          <w:p w14:paraId="186BA7FA" w14:textId="6B3DA028" w:rsidR="006658E1" w:rsidRPr="009D4684" w:rsidRDefault="006658E1" w:rsidP="006658E1">
            <w:pPr>
              <w:pStyle w:val="naisc"/>
              <w:spacing w:before="0" w:after="0"/>
              <w:jc w:val="both"/>
              <w:rPr>
                <w:b/>
                <w:bCs/>
              </w:rPr>
            </w:pPr>
            <w:r w:rsidRPr="009D4684">
              <w:rPr>
                <w:b/>
                <w:bCs/>
              </w:rPr>
              <w:t>Ņemts vērā</w:t>
            </w:r>
          </w:p>
        </w:tc>
        <w:tc>
          <w:tcPr>
            <w:tcW w:w="1934" w:type="dxa"/>
            <w:tcBorders>
              <w:top w:val="single" w:sz="4" w:space="0" w:color="auto"/>
              <w:left w:val="single" w:sz="4" w:space="0" w:color="auto"/>
              <w:bottom w:val="single" w:sz="4" w:space="0" w:color="auto"/>
            </w:tcBorders>
          </w:tcPr>
          <w:p w14:paraId="7517E241" w14:textId="2AFF8B7A" w:rsidR="006658E1" w:rsidRPr="00712B66" w:rsidRDefault="006658E1" w:rsidP="006658E1">
            <w:pPr>
              <w:jc w:val="both"/>
            </w:pPr>
            <w:r>
              <w:t>Skat. Plāna projekta 3.4. sadaļu.</w:t>
            </w:r>
          </w:p>
        </w:tc>
      </w:tr>
      <w:tr w:rsidR="006658E1" w:rsidRPr="00712B66" w14:paraId="6B4BD3A0" w14:textId="77777777" w:rsidTr="7E8539FD">
        <w:tc>
          <w:tcPr>
            <w:tcW w:w="673" w:type="dxa"/>
            <w:tcBorders>
              <w:left w:val="single" w:sz="6" w:space="0" w:color="000000" w:themeColor="text1"/>
              <w:bottom w:val="single" w:sz="4" w:space="0" w:color="auto"/>
              <w:right w:val="single" w:sz="6" w:space="0" w:color="000000" w:themeColor="text1"/>
            </w:tcBorders>
          </w:tcPr>
          <w:p w14:paraId="034DB0B6" w14:textId="44EEB738" w:rsidR="006658E1" w:rsidRDefault="00F76D07" w:rsidP="006658E1">
            <w:pPr>
              <w:pStyle w:val="naisc"/>
              <w:spacing w:before="0" w:after="0"/>
            </w:pPr>
            <w:r>
              <w:t>14</w:t>
            </w:r>
            <w:r w:rsidR="006658E1">
              <w:t>.</w:t>
            </w:r>
          </w:p>
        </w:tc>
        <w:tc>
          <w:tcPr>
            <w:tcW w:w="1835" w:type="dxa"/>
            <w:tcBorders>
              <w:left w:val="single" w:sz="6" w:space="0" w:color="000000" w:themeColor="text1"/>
              <w:bottom w:val="single" w:sz="4" w:space="0" w:color="auto"/>
              <w:right w:val="single" w:sz="6" w:space="0" w:color="000000" w:themeColor="text1"/>
            </w:tcBorders>
          </w:tcPr>
          <w:p w14:paraId="5680D908" w14:textId="77777777" w:rsidR="006658E1" w:rsidRDefault="006658E1" w:rsidP="006658E1">
            <w:pPr>
              <w:pStyle w:val="naisc"/>
              <w:spacing w:before="0" w:after="0"/>
              <w:jc w:val="both"/>
            </w:pPr>
            <w:r>
              <w:t>Skat. Plāna projekta 3.4. sadaļu.</w:t>
            </w:r>
          </w:p>
        </w:tc>
        <w:tc>
          <w:tcPr>
            <w:tcW w:w="7123" w:type="dxa"/>
            <w:gridSpan w:val="2"/>
            <w:tcBorders>
              <w:left w:val="single" w:sz="6" w:space="0" w:color="000000" w:themeColor="text1"/>
              <w:bottom w:val="single" w:sz="4" w:space="0" w:color="auto"/>
              <w:right w:val="single" w:sz="6" w:space="0" w:color="000000" w:themeColor="text1"/>
            </w:tcBorders>
          </w:tcPr>
          <w:p w14:paraId="2812FA7A" w14:textId="77777777" w:rsidR="006658E1" w:rsidRDefault="006658E1" w:rsidP="006658E1">
            <w:pPr>
              <w:pStyle w:val="naisc"/>
              <w:spacing w:before="0" w:after="0"/>
              <w:rPr>
                <w:b/>
              </w:rPr>
            </w:pPr>
            <w:r>
              <w:rPr>
                <w:b/>
              </w:rPr>
              <w:t>Aizsardzības ministrija</w:t>
            </w:r>
          </w:p>
          <w:p w14:paraId="7B1FDA61" w14:textId="77777777" w:rsidR="006658E1" w:rsidRDefault="006658E1" w:rsidP="006658E1">
            <w:pPr>
              <w:pStyle w:val="naisc"/>
              <w:spacing w:before="0" w:after="0"/>
            </w:pPr>
            <w:r>
              <w:t>(07.01.2021. iebildums)</w:t>
            </w:r>
          </w:p>
          <w:p w14:paraId="1009C70F" w14:textId="77777777" w:rsidR="006658E1" w:rsidRDefault="006658E1" w:rsidP="006658E1">
            <w:pPr>
              <w:jc w:val="both"/>
              <w:rPr>
                <w:lang w:eastAsia="en-US"/>
              </w:rPr>
            </w:pPr>
          </w:p>
          <w:p w14:paraId="62263BD3" w14:textId="77777777" w:rsidR="006658E1" w:rsidRPr="00373903" w:rsidRDefault="006658E1" w:rsidP="006658E1">
            <w:pPr>
              <w:jc w:val="both"/>
              <w:rPr>
                <w:lang w:eastAsia="en-US"/>
              </w:rPr>
            </w:pPr>
            <w:r w:rsidRPr="00C60BFF">
              <w:rPr>
                <w:lang w:eastAsia="en-US"/>
              </w:rPr>
              <w:t>Plāna projekta sadaļas 3.4. “Digitālā transformācija un pratība” (33. lpp.) teikumu “</w:t>
            </w:r>
            <w:r w:rsidRPr="00C60BFF">
              <w:rPr>
                <w:i/>
                <w:iCs/>
                <w:lang w:eastAsia="en-US"/>
              </w:rPr>
              <w:t>Viens no digitālās transformācijas priekšnoteikumiem ir nodarbināto atvērtība jaunajam un atbilstošs digitālo prasmju līmenis.</w:t>
            </w:r>
            <w:r w:rsidRPr="00C60BFF">
              <w:rPr>
                <w:lang w:eastAsia="en-US"/>
              </w:rPr>
              <w:t>” izteikt šādā redakcijā: “</w:t>
            </w:r>
            <w:r w:rsidRPr="00C60BFF">
              <w:rPr>
                <w:i/>
                <w:iCs/>
                <w:lang w:eastAsia="en-US"/>
              </w:rPr>
              <w:t xml:space="preserve">Viens no digitālās transformācijas priekšnoteikumiem ir nodarbināto atvērtība jaunajam, atbilstošs digitālo prasmju līmenis </w:t>
            </w:r>
            <w:r w:rsidRPr="00C60BFF">
              <w:rPr>
                <w:i/>
                <w:iCs/>
                <w:u w:val="single"/>
                <w:lang w:eastAsia="en-US"/>
              </w:rPr>
              <w:t>un zināšanas par digitālās drošības jautājumiem.</w:t>
            </w:r>
            <w:r w:rsidRPr="00C60BFF">
              <w:rPr>
                <w:lang w:eastAsia="en-US"/>
              </w:rPr>
              <w:t>”.</w:t>
            </w:r>
          </w:p>
        </w:tc>
        <w:tc>
          <w:tcPr>
            <w:tcW w:w="3427" w:type="dxa"/>
            <w:gridSpan w:val="2"/>
            <w:tcBorders>
              <w:left w:val="single" w:sz="6" w:space="0" w:color="000000" w:themeColor="text1"/>
              <w:bottom w:val="single" w:sz="4" w:space="0" w:color="auto"/>
              <w:right w:val="single" w:sz="6" w:space="0" w:color="000000" w:themeColor="text1"/>
            </w:tcBorders>
          </w:tcPr>
          <w:p w14:paraId="6FD20263" w14:textId="3636209C" w:rsidR="006658E1" w:rsidRPr="009D4684" w:rsidRDefault="006658E1" w:rsidP="006658E1">
            <w:pPr>
              <w:pStyle w:val="naisc"/>
              <w:spacing w:before="0" w:after="0"/>
              <w:jc w:val="both"/>
              <w:rPr>
                <w:b/>
                <w:bCs/>
              </w:rPr>
            </w:pPr>
            <w:r w:rsidRPr="009D4684">
              <w:rPr>
                <w:b/>
                <w:bCs/>
              </w:rPr>
              <w:t>Ņemts vērā</w:t>
            </w:r>
          </w:p>
        </w:tc>
        <w:tc>
          <w:tcPr>
            <w:tcW w:w="1934" w:type="dxa"/>
            <w:tcBorders>
              <w:top w:val="single" w:sz="4" w:space="0" w:color="auto"/>
              <w:left w:val="single" w:sz="4" w:space="0" w:color="auto"/>
              <w:bottom w:val="single" w:sz="4" w:space="0" w:color="auto"/>
            </w:tcBorders>
          </w:tcPr>
          <w:p w14:paraId="66B29004" w14:textId="59CBF657" w:rsidR="006658E1" w:rsidRPr="00712B66" w:rsidRDefault="006658E1" w:rsidP="006658E1">
            <w:pPr>
              <w:jc w:val="both"/>
            </w:pPr>
            <w:r>
              <w:t>Skat. Plāna projekta 3.4. sadaļu.</w:t>
            </w:r>
          </w:p>
        </w:tc>
      </w:tr>
      <w:tr w:rsidR="006658E1" w:rsidRPr="00712B66" w14:paraId="4E86D9D3" w14:textId="77777777" w:rsidTr="7E8539FD">
        <w:tc>
          <w:tcPr>
            <w:tcW w:w="673" w:type="dxa"/>
            <w:tcBorders>
              <w:left w:val="single" w:sz="6" w:space="0" w:color="000000" w:themeColor="text1"/>
              <w:bottom w:val="single" w:sz="4" w:space="0" w:color="auto"/>
              <w:right w:val="single" w:sz="6" w:space="0" w:color="000000" w:themeColor="text1"/>
            </w:tcBorders>
          </w:tcPr>
          <w:p w14:paraId="3C5860F0" w14:textId="7E1516EA" w:rsidR="006658E1" w:rsidRDefault="00F76D07" w:rsidP="006658E1">
            <w:pPr>
              <w:pStyle w:val="naisc"/>
              <w:spacing w:before="0" w:after="0"/>
            </w:pPr>
            <w:r>
              <w:t>15</w:t>
            </w:r>
            <w:r w:rsidR="006658E1">
              <w:t>.</w:t>
            </w:r>
          </w:p>
        </w:tc>
        <w:tc>
          <w:tcPr>
            <w:tcW w:w="1835" w:type="dxa"/>
            <w:tcBorders>
              <w:left w:val="single" w:sz="6" w:space="0" w:color="000000" w:themeColor="text1"/>
              <w:bottom w:val="single" w:sz="4" w:space="0" w:color="auto"/>
              <w:right w:val="single" w:sz="6" w:space="0" w:color="000000" w:themeColor="text1"/>
            </w:tcBorders>
          </w:tcPr>
          <w:p w14:paraId="258BAD5B" w14:textId="77777777" w:rsidR="006658E1" w:rsidRDefault="006658E1" w:rsidP="006658E1">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7A86518C" w14:textId="77777777" w:rsidR="006658E1" w:rsidRDefault="006658E1" w:rsidP="006658E1">
            <w:pPr>
              <w:pStyle w:val="naisc"/>
              <w:spacing w:before="0" w:after="0"/>
              <w:rPr>
                <w:b/>
              </w:rPr>
            </w:pPr>
            <w:r>
              <w:rPr>
                <w:b/>
              </w:rPr>
              <w:t>Tieslietu ministrija</w:t>
            </w:r>
          </w:p>
          <w:p w14:paraId="0DF371BB" w14:textId="77777777" w:rsidR="006658E1" w:rsidRDefault="006658E1" w:rsidP="006658E1">
            <w:pPr>
              <w:pStyle w:val="naisc"/>
              <w:spacing w:before="0" w:after="0"/>
            </w:pPr>
            <w:r>
              <w:t>(08.01.2021. iebildums)</w:t>
            </w:r>
          </w:p>
          <w:p w14:paraId="4F5ECECD" w14:textId="77777777" w:rsidR="006658E1" w:rsidRDefault="006658E1" w:rsidP="006658E1">
            <w:pPr>
              <w:pStyle w:val="naisc"/>
              <w:spacing w:before="0" w:after="0"/>
              <w:rPr>
                <w:b/>
              </w:rPr>
            </w:pPr>
          </w:p>
          <w:p w14:paraId="03306D56" w14:textId="77777777" w:rsidR="006658E1" w:rsidRPr="00D06248" w:rsidRDefault="006658E1" w:rsidP="006658E1">
            <w:pPr>
              <w:tabs>
                <w:tab w:val="left" w:pos="993"/>
              </w:tabs>
              <w:contextualSpacing/>
              <w:jc w:val="both"/>
              <w:outlineLvl w:val="0"/>
              <w:rPr>
                <w:rFonts w:eastAsia="Calibri"/>
                <w:bCs/>
                <w:color w:val="000000"/>
                <w:lang w:eastAsia="zh-CN"/>
              </w:rPr>
            </w:pPr>
            <w:r w:rsidRPr="00D06248">
              <w:rPr>
                <w:rFonts w:eastAsia="Calibri"/>
                <w:lang w:eastAsia="en-US"/>
              </w:rPr>
              <w:t>P</w:t>
            </w:r>
            <w:r w:rsidRPr="00D06248">
              <w:rPr>
                <w:rFonts w:eastAsia="Calibri"/>
                <w:bCs/>
                <w:color w:val="000000"/>
                <w:lang w:eastAsia="zh-CN"/>
              </w:rPr>
              <w:t xml:space="preserve">rojekta prioritātē </w:t>
            </w:r>
            <w:r w:rsidRPr="00D06248">
              <w:rPr>
                <w:color w:val="000000"/>
                <w:lang w:eastAsia="zh-CN"/>
              </w:rPr>
              <w:t>"</w:t>
            </w:r>
            <w:r w:rsidRPr="00D06248">
              <w:rPr>
                <w:rFonts w:eastAsia="Calibri"/>
                <w:bCs/>
                <w:color w:val="000000"/>
                <w:lang w:eastAsia="zh-CN"/>
              </w:rPr>
              <w:t>Godprātīgs darbs publiskajā pārvaldē</w:t>
            </w:r>
            <w:r w:rsidRPr="00D06248">
              <w:rPr>
                <w:color w:val="000000"/>
                <w:lang w:eastAsia="zh-CN"/>
              </w:rPr>
              <w:t>"</w:t>
            </w:r>
            <w:r w:rsidRPr="00D06248">
              <w:rPr>
                <w:rFonts w:eastAsia="Calibri"/>
                <w:bCs/>
                <w:color w:val="000000"/>
                <w:lang w:eastAsia="zh-CN"/>
              </w:rPr>
              <w:t xml:space="preserve"> piedāvātie pasākumi nav visaptveroši, jo tie aptver esošo problēmu tikai fragmentāri. Proti, nepieciešams daudz mērķtiecīgāk un sistēmiskāk strādāt ar darbiniekiem, kuri veic kontrolējošās funkcijas un sniedz pakalpojumus. Šobrīd atsevišķas programmas piedāvāts izstrādāt </w:t>
            </w:r>
            <w:r w:rsidRPr="00D06248">
              <w:rPr>
                <w:rFonts w:eastAsia="Calibri"/>
                <w:bCs/>
                <w:color w:val="000000"/>
                <w:lang w:eastAsia="zh-CN"/>
              </w:rPr>
              <w:lastRenderedPageBreak/>
              <w:t>iepirkumu speciālistiem, politiskām un augstākām amatpersonām, tiesībsargājošām iestādēm, taču nav izdalīta lielākā valsts pārvaldē strādājošā grupa, kur pastāv dažāda līmeņa riski attiecībā uz nevēlamu korporatīvo saišu veidošanu un citām darbībām, kas veicina ikdienas līmeņa negodprātību valsts pārvaldē. Lūdzam projektā piedāvāt visaptverošu risinājumu šai problēmai.</w:t>
            </w:r>
          </w:p>
        </w:tc>
        <w:tc>
          <w:tcPr>
            <w:tcW w:w="3427" w:type="dxa"/>
            <w:gridSpan w:val="2"/>
            <w:tcBorders>
              <w:left w:val="single" w:sz="6" w:space="0" w:color="000000" w:themeColor="text1"/>
              <w:bottom w:val="single" w:sz="4" w:space="0" w:color="auto"/>
              <w:right w:val="single" w:sz="6" w:space="0" w:color="000000" w:themeColor="text1"/>
            </w:tcBorders>
          </w:tcPr>
          <w:p w14:paraId="73DF2E11" w14:textId="4522C47D" w:rsidR="006658E1" w:rsidRPr="00635DD3" w:rsidRDefault="006658E1" w:rsidP="006658E1">
            <w:pPr>
              <w:pStyle w:val="naisc"/>
              <w:spacing w:before="0" w:after="0"/>
              <w:jc w:val="both"/>
              <w:rPr>
                <w:b/>
                <w:bCs/>
              </w:rPr>
            </w:pPr>
            <w:r w:rsidRPr="00635DD3">
              <w:rPr>
                <w:b/>
                <w:bCs/>
              </w:rPr>
              <w:lastRenderedPageBreak/>
              <w:t>Ņemts vērā</w:t>
            </w:r>
          </w:p>
        </w:tc>
        <w:tc>
          <w:tcPr>
            <w:tcW w:w="1934" w:type="dxa"/>
            <w:tcBorders>
              <w:top w:val="single" w:sz="4" w:space="0" w:color="auto"/>
              <w:left w:val="single" w:sz="4" w:space="0" w:color="auto"/>
              <w:bottom w:val="single" w:sz="4" w:space="0" w:color="auto"/>
            </w:tcBorders>
          </w:tcPr>
          <w:p w14:paraId="53F73A5D" w14:textId="744F7865" w:rsidR="006658E1" w:rsidRPr="00712B66" w:rsidRDefault="006658E1" w:rsidP="006658E1">
            <w:pPr>
              <w:jc w:val="both"/>
            </w:pPr>
            <w:r>
              <w:t>Skat. Plāna projekta 3.1. sadaļu un 2. pielikumu</w:t>
            </w:r>
          </w:p>
        </w:tc>
      </w:tr>
      <w:tr w:rsidR="006658E1" w:rsidRPr="00712B66" w14:paraId="6FB18B7A" w14:textId="77777777" w:rsidTr="7E8539FD">
        <w:tc>
          <w:tcPr>
            <w:tcW w:w="673" w:type="dxa"/>
            <w:tcBorders>
              <w:left w:val="single" w:sz="6" w:space="0" w:color="000000" w:themeColor="text1"/>
              <w:bottom w:val="single" w:sz="4" w:space="0" w:color="auto"/>
              <w:right w:val="single" w:sz="6" w:space="0" w:color="000000" w:themeColor="text1"/>
            </w:tcBorders>
          </w:tcPr>
          <w:p w14:paraId="6548941C" w14:textId="1981097C" w:rsidR="006658E1" w:rsidRDefault="00F76D07" w:rsidP="006658E1">
            <w:pPr>
              <w:pStyle w:val="naisc"/>
              <w:spacing w:before="0" w:after="0"/>
            </w:pPr>
            <w:r>
              <w:t>16</w:t>
            </w:r>
            <w:r w:rsidR="006658E1">
              <w:t>.</w:t>
            </w:r>
          </w:p>
        </w:tc>
        <w:tc>
          <w:tcPr>
            <w:tcW w:w="1835" w:type="dxa"/>
            <w:tcBorders>
              <w:left w:val="single" w:sz="6" w:space="0" w:color="000000" w:themeColor="text1"/>
              <w:bottom w:val="single" w:sz="4" w:space="0" w:color="auto"/>
              <w:right w:val="single" w:sz="6" w:space="0" w:color="000000" w:themeColor="text1"/>
            </w:tcBorders>
          </w:tcPr>
          <w:p w14:paraId="2C66E238" w14:textId="77777777" w:rsidR="006658E1" w:rsidRDefault="006658E1" w:rsidP="006658E1">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02015557" w14:textId="77777777" w:rsidR="006658E1" w:rsidRDefault="006658E1" w:rsidP="006658E1">
            <w:pPr>
              <w:pStyle w:val="naisc"/>
              <w:spacing w:before="0" w:after="0"/>
              <w:rPr>
                <w:b/>
              </w:rPr>
            </w:pPr>
            <w:r>
              <w:rPr>
                <w:b/>
              </w:rPr>
              <w:t>Tieslietu ministrija</w:t>
            </w:r>
          </w:p>
          <w:p w14:paraId="083399AA" w14:textId="77777777" w:rsidR="006658E1" w:rsidRDefault="006658E1" w:rsidP="006658E1">
            <w:pPr>
              <w:pStyle w:val="naisc"/>
              <w:spacing w:before="0" w:after="0"/>
            </w:pPr>
            <w:r>
              <w:t>(08.01.2021. iebildums)</w:t>
            </w:r>
          </w:p>
          <w:p w14:paraId="3E9AC4EF" w14:textId="77777777" w:rsidR="006658E1" w:rsidRDefault="006658E1" w:rsidP="006658E1">
            <w:pPr>
              <w:pStyle w:val="naisc"/>
              <w:spacing w:before="0" w:after="0"/>
              <w:rPr>
                <w:b/>
              </w:rPr>
            </w:pPr>
          </w:p>
          <w:p w14:paraId="5281DBCE" w14:textId="77777777" w:rsidR="006658E1" w:rsidRPr="00D06248" w:rsidRDefault="006658E1" w:rsidP="006658E1">
            <w:pPr>
              <w:tabs>
                <w:tab w:val="left" w:pos="993"/>
              </w:tabs>
              <w:contextualSpacing/>
              <w:jc w:val="both"/>
              <w:outlineLvl w:val="0"/>
              <w:rPr>
                <w:rFonts w:eastAsia="Calibri"/>
                <w:bCs/>
                <w:color w:val="000000"/>
                <w:lang w:eastAsia="zh-CN"/>
              </w:rPr>
            </w:pPr>
            <w:r w:rsidRPr="00D06248">
              <w:rPr>
                <w:rFonts w:eastAsia="Calibri"/>
                <w:bCs/>
                <w:color w:val="000000"/>
                <w:lang w:eastAsia="zh-CN"/>
              </w:rPr>
              <w:t xml:space="preserve">Projektu nepieciešams papildināt ar informāciju, ka būtiski būtu veidot tematiskās starpnozaru </w:t>
            </w:r>
            <w:bookmarkStart w:id="1" w:name="_Hlk69280845"/>
            <w:r w:rsidRPr="00D06248">
              <w:rPr>
                <w:rFonts w:eastAsia="Calibri"/>
                <w:bCs/>
                <w:color w:val="000000"/>
                <w:lang w:eastAsia="zh-CN"/>
              </w:rPr>
              <w:t>kopienas dažādām amata grupām, kas regulāri tiekas un veic centralizēti organizētu domu apmaiņu, lai valsts pārvalde attīstītos vienā tempā un nerastos attīstības plaisa starp dažādām valsts pārvaldes iestādēm.</w:t>
            </w:r>
            <w:bookmarkEnd w:id="1"/>
          </w:p>
        </w:tc>
        <w:tc>
          <w:tcPr>
            <w:tcW w:w="3427" w:type="dxa"/>
            <w:gridSpan w:val="2"/>
            <w:tcBorders>
              <w:left w:val="single" w:sz="6" w:space="0" w:color="000000" w:themeColor="text1"/>
              <w:bottom w:val="single" w:sz="4" w:space="0" w:color="auto"/>
              <w:right w:val="single" w:sz="6" w:space="0" w:color="000000" w:themeColor="text1"/>
            </w:tcBorders>
          </w:tcPr>
          <w:p w14:paraId="5ADA5A55" w14:textId="1738B284" w:rsidR="006658E1" w:rsidRPr="003252D9" w:rsidRDefault="006658E1" w:rsidP="006658E1">
            <w:pPr>
              <w:pStyle w:val="naisc"/>
              <w:spacing w:before="0" w:after="0"/>
              <w:jc w:val="both"/>
              <w:rPr>
                <w:b/>
                <w:bCs/>
              </w:rPr>
            </w:pPr>
            <w:r w:rsidRPr="003252D9">
              <w:rPr>
                <w:b/>
                <w:bCs/>
              </w:rPr>
              <w:t>Ņemts vērā</w:t>
            </w:r>
          </w:p>
        </w:tc>
        <w:tc>
          <w:tcPr>
            <w:tcW w:w="1934" w:type="dxa"/>
            <w:tcBorders>
              <w:top w:val="single" w:sz="4" w:space="0" w:color="auto"/>
              <w:left w:val="single" w:sz="4" w:space="0" w:color="auto"/>
              <w:bottom w:val="single" w:sz="4" w:space="0" w:color="auto"/>
            </w:tcBorders>
          </w:tcPr>
          <w:p w14:paraId="05C84952" w14:textId="03CAF718" w:rsidR="006658E1" w:rsidRPr="00712B66" w:rsidRDefault="006658E1" w:rsidP="006658E1">
            <w:pPr>
              <w:jc w:val="both"/>
            </w:pPr>
            <w:r>
              <w:t>Skat. Plāna projekta 4.2. sadaļu.</w:t>
            </w:r>
          </w:p>
        </w:tc>
      </w:tr>
      <w:tr w:rsidR="006658E1" w:rsidRPr="00712B66" w14:paraId="12BA3B48" w14:textId="77777777" w:rsidTr="7E8539FD">
        <w:tc>
          <w:tcPr>
            <w:tcW w:w="673" w:type="dxa"/>
            <w:tcBorders>
              <w:left w:val="single" w:sz="6" w:space="0" w:color="000000" w:themeColor="text1"/>
              <w:bottom w:val="single" w:sz="4" w:space="0" w:color="auto"/>
              <w:right w:val="single" w:sz="6" w:space="0" w:color="000000" w:themeColor="text1"/>
            </w:tcBorders>
          </w:tcPr>
          <w:p w14:paraId="0940CC79" w14:textId="1DEEDF27" w:rsidR="006658E1" w:rsidRDefault="00F76D07" w:rsidP="006658E1">
            <w:pPr>
              <w:pStyle w:val="naisc"/>
              <w:spacing w:before="0" w:after="0"/>
            </w:pPr>
            <w:r>
              <w:t>17</w:t>
            </w:r>
            <w:r w:rsidR="006658E1">
              <w:t>.</w:t>
            </w:r>
          </w:p>
        </w:tc>
        <w:tc>
          <w:tcPr>
            <w:tcW w:w="1835" w:type="dxa"/>
            <w:tcBorders>
              <w:left w:val="single" w:sz="6" w:space="0" w:color="000000" w:themeColor="text1"/>
              <w:bottom w:val="single" w:sz="4" w:space="0" w:color="auto"/>
              <w:right w:val="single" w:sz="6" w:space="0" w:color="000000" w:themeColor="text1"/>
            </w:tcBorders>
          </w:tcPr>
          <w:p w14:paraId="15F0E8E5" w14:textId="77777777" w:rsidR="006658E1" w:rsidRDefault="006658E1" w:rsidP="006658E1">
            <w:pPr>
              <w:pStyle w:val="naisc"/>
              <w:spacing w:before="0" w:after="0"/>
              <w:jc w:val="both"/>
            </w:pPr>
            <w:r>
              <w:t>Skat. Plāna projekta 2. pielikumu.</w:t>
            </w:r>
          </w:p>
        </w:tc>
        <w:tc>
          <w:tcPr>
            <w:tcW w:w="7123" w:type="dxa"/>
            <w:gridSpan w:val="2"/>
            <w:tcBorders>
              <w:left w:val="single" w:sz="6" w:space="0" w:color="000000" w:themeColor="text1"/>
              <w:bottom w:val="single" w:sz="4" w:space="0" w:color="auto"/>
              <w:right w:val="single" w:sz="6" w:space="0" w:color="000000" w:themeColor="text1"/>
            </w:tcBorders>
          </w:tcPr>
          <w:p w14:paraId="56234FBD" w14:textId="77777777" w:rsidR="006658E1" w:rsidRDefault="006658E1" w:rsidP="006658E1">
            <w:pPr>
              <w:pStyle w:val="naisc"/>
              <w:spacing w:before="0" w:after="0"/>
              <w:rPr>
                <w:b/>
              </w:rPr>
            </w:pPr>
            <w:r>
              <w:rPr>
                <w:b/>
              </w:rPr>
              <w:t>Tieslietu ministrija</w:t>
            </w:r>
          </w:p>
          <w:p w14:paraId="23B6E87E" w14:textId="77777777" w:rsidR="006658E1" w:rsidRDefault="006658E1" w:rsidP="006658E1">
            <w:pPr>
              <w:pStyle w:val="naisc"/>
              <w:spacing w:before="0" w:after="0"/>
            </w:pPr>
            <w:r>
              <w:t>(08.01.2021. iebildums)</w:t>
            </w:r>
          </w:p>
          <w:p w14:paraId="3B01F3A7" w14:textId="77777777" w:rsidR="006658E1" w:rsidRDefault="006658E1" w:rsidP="006658E1">
            <w:pPr>
              <w:pStyle w:val="naisc"/>
              <w:tabs>
                <w:tab w:val="left" w:pos="4748"/>
              </w:tabs>
              <w:spacing w:before="0" w:after="0"/>
              <w:jc w:val="left"/>
              <w:rPr>
                <w:b/>
              </w:rPr>
            </w:pPr>
            <w:r>
              <w:rPr>
                <w:b/>
              </w:rPr>
              <w:tab/>
            </w:r>
          </w:p>
          <w:p w14:paraId="54ED2B41" w14:textId="77777777" w:rsidR="006658E1" w:rsidRPr="00D06248" w:rsidRDefault="006658E1" w:rsidP="006658E1">
            <w:pPr>
              <w:tabs>
                <w:tab w:val="left" w:pos="993"/>
              </w:tabs>
              <w:contextualSpacing/>
              <w:jc w:val="both"/>
              <w:outlineLvl w:val="0"/>
              <w:rPr>
                <w:rFonts w:eastAsia="Calibri"/>
                <w:bCs/>
                <w:color w:val="000000"/>
                <w:lang w:eastAsia="zh-CN"/>
              </w:rPr>
            </w:pPr>
            <w:r w:rsidRPr="00D06248">
              <w:rPr>
                <w:rFonts w:eastAsia="Calibri"/>
                <w:bCs/>
                <w:color w:val="000000"/>
                <w:lang w:eastAsia="zh-CN"/>
              </w:rPr>
              <w:t xml:space="preserve">Projekta 2. pielikumā norādīts, ka iestādes līmenī jāparedz atbilstoši resursi nodarbināto attīstībai, sasniedzot līdz 2027. gadam 5 % no atlīdzības budžeta. Piemēram, Valsts zemes dienesta (turpmāk - Dienests) gadījumā tas būtu 500 000 </w:t>
            </w:r>
            <w:r w:rsidRPr="00D06248">
              <w:rPr>
                <w:rFonts w:eastAsia="Calibri"/>
                <w:bCs/>
                <w:i/>
                <w:iCs/>
                <w:color w:val="000000"/>
                <w:lang w:eastAsia="zh-CN"/>
              </w:rPr>
              <w:t>euro</w:t>
            </w:r>
            <w:r w:rsidRPr="00D06248">
              <w:rPr>
                <w:rFonts w:eastAsia="Calibri"/>
                <w:bCs/>
                <w:color w:val="000000"/>
                <w:lang w:eastAsia="zh-CN"/>
              </w:rPr>
              <w:t xml:space="preserve"> gadā. 2020. gadam plānotais attīstības budžets Dienestam bija 0,3 %, savukārt reālais bija daudz mazāks, jo komandējumu budžets tika dzēsts. Šobrīd projektā izvirzītais mērķis 2027. gadam, ja netiek piešķirts papildu budžets, Dienestam radītu pārāk lielu finanšu slogu, šobrīd tādā apmērā finansējumu Dienesta budžetā nav iespējams paredzēt. Līdz ar to lūdzam atkārtoti izvērtēt projekta 2. pielikumā norādīto resursu procentuālo skaitli no atlīdzības budžeta iestādes līmenī. </w:t>
            </w:r>
          </w:p>
        </w:tc>
        <w:tc>
          <w:tcPr>
            <w:tcW w:w="3427" w:type="dxa"/>
            <w:gridSpan w:val="2"/>
            <w:tcBorders>
              <w:left w:val="single" w:sz="6" w:space="0" w:color="000000" w:themeColor="text1"/>
              <w:bottom w:val="single" w:sz="4" w:space="0" w:color="auto"/>
              <w:right w:val="single" w:sz="6" w:space="0" w:color="000000" w:themeColor="text1"/>
            </w:tcBorders>
          </w:tcPr>
          <w:p w14:paraId="48B08187" w14:textId="77777777" w:rsidR="006658E1" w:rsidRDefault="006658E1" w:rsidP="006658E1">
            <w:pPr>
              <w:pStyle w:val="naisc"/>
              <w:spacing w:before="0" w:after="0"/>
              <w:jc w:val="both"/>
              <w:rPr>
                <w:b/>
                <w:bCs/>
              </w:rPr>
            </w:pPr>
            <w:r>
              <w:rPr>
                <w:b/>
                <w:bCs/>
              </w:rPr>
              <w:t>Ņ</w:t>
            </w:r>
            <w:r w:rsidRPr="00891297">
              <w:rPr>
                <w:b/>
                <w:bCs/>
              </w:rPr>
              <w:t>emts vērā</w:t>
            </w:r>
          </w:p>
          <w:p w14:paraId="02D47C0F" w14:textId="77777777" w:rsidR="006658E1" w:rsidRDefault="006658E1" w:rsidP="006658E1">
            <w:pPr>
              <w:pStyle w:val="naisc"/>
              <w:spacing w:before="0" w:after="0"/>
              <w:jc w:val="both"/>
              <w:rPr>
                <w:b/>
                <w:bCs/>
              </w:rPr>
            </w:pPr>
          </w:p>
          <w:p w14:paraId="29A1316F" w14:textId="2D139273" w:rsidR="006658E1" w:rsidRPr="00891297" w:rsidRDefault="006658E1" w:rsidP="006658E1">
            <w:pPr>
              <w:pStyle w:val="naisc"/>
              <w:spacing w:before="0" w:after="0"/>
              <w:jc w:val="both"/>
              <w:rPr>
                <w:b/>
                <w:bCs/>
              </w:rPr>
            </w:pPr>
            <w:r>
              <w:t>Plāna projektā ir precizēts noteiktais procentuālais lielums, kas būtu paredzams nodarbināto attīstībai ilgtermiņā.</w:t>
            </w:r>
          </w:p>
        </w:tc>
        <w:tc>
          <w:tcPr>
            <w:tcW w:w="1934" w:type="dxa"/>
            <w:tcBorders>
              <w:top w:val="single" w:sz="4" w:space="0" w:color="auto"/>
              <w:left w:val="single" w:sz="4" w:space="0" w:color="auto"/>
              <w:bottom w:val="single" w:sz="4" w:space="0" w:color="auto"/>
            </w:tcBorders>
          </w:tcPr>
          <w:p w14:paraId="27F23A7B" w14:textId="13B73598" w:rsidR="006658E1" w:rsidRPr="00712B66" w:rsidRDefault="006658E1" w:rsidP="006658E1">
            <w:pPr>
              <w:jc w:val="both"/>
            </w:pPr>
            <w:r>
              <w:t>Skat. Plāna projekta 3. pielikumu.</w:t>
            </w:r>
          </w:p>
        </w:tc>
      </w:tr>
      <w:tr w:rsidR="006658E1" w:rsidRPr="00712B66" w14:paraId="2E1605DC" w14:textId="77777777" w:rsidTr="7E8539FD">
        <w:tc>
          <w:tcPr>
            <w:tcW w:w="673" w:type="dxa"/>
            <w:tcBorders>
              <w:left w:val="single" w:sz="6" w:space="0" w:color="000000" w:themeColor="text1"/>
              <w:bottom w:val="single" w:sz="4" w:space="0" w:color="auto"/>
              <w:right w:val="single" w:sz="6" w:space="0" w:color="000000" w:themeColor="text1"/>
            </w:tcBorders>
          </w:tcPr>
          <w:p w14:paraId="0D80EE49" w14:textId="6F15B1B4" w:rsidR="006658E1" w:rsidRDefault="00F76D07" w:rsidP="006658E1">
            <w:pPr>
              <w:pStyle w:val="naisc"/>
              <w:spacing w:before="0" w:after="0"/>
            </w:pPr>
            <w:r>
              <w:t>18</w:t>
            </w:r>
            <w:r w:rsidR="006658E1">
              <w:t>.</w:t>
            </w:r>
          </w:p>
        </w:tc>
        <w:tc>
          <w:tcPr>
            <w:tcW w:w="1835" w:type="dxa"/>
            <w:tcBorders>
              <w:left w:val="single" w:sz="6" w:space="0" w:color="000000" w:themeColor="text1"/>
              <w:bottom w:val="single" w:sz="4" w:space="0" w:color="auto"/>
              <w:right w:val="single" w:sz="6" w:space="0" w:color="000000" w:themeColor="text1"/>
            </w:tcBorders>
          </w:tcPr>
          <w:p w14:paraId="264211AE" w14:textId="77777777" w:rsidR="006658E1" w:rsidRDefault="006658E1" w:rsidP="006658E1">
            <w:pPr>
              <w:pStyle w:val="naisc"/>
              <w:spacing w:before="0" w:after="0"/>
              <w:jc w:val="both"/>
            </w:pPr>
            <w:r>
              <w:t>Skat. Plāna projekta 2. pielikumu.</w:t>
            </w:r>
          </w:p>
        </w:tc>
        <w:tc>
          <w:tcPr>
            <w:tcW w:w="7123" w:type="dxa"/>
            <w:gridSpan w:val="2"/>
            <w:tcBorders>
              <w:left w:val="single" w:sz="6" w:space="0" w:color="000000" w:themeColor="text1"/>
              <w:bottom w:val="single" w:sz="4" w:space="0" w:color="auto"/>
              <w:right w:val="single" w:sz="6" w:space="0" w:color="000000" w:themeColor="text1"/>
            </w:tcBorders>
          </w:tcPr>
          <w:p w14:paraId="4FAD0BAA" w14:textId="77777777" w:rsidR="006658E1" w:rsidRDefault="006658E1" w:rsidP="006658E1">
            <w:pPr>
              <w:pStyle w:val="naisc"/>
              <w:spacing w:before="0" w:after="0"/>
              <w:rPr>
                <w:b/>
              </w:rPr>
            </w:pPr>
            <w:r>
              <w:rPr>
                <w:b/>
              </w:rPr>
              <w:t>Tieslietu ministrija</w:t>
            </w:r>
          </w:p>
          <w:p w14:paraId="3CA54F3A" w14:textId="77777777" w:rsidR="006658E1" w:rsidRDefault="006658E1" w:rsidP="006658E1">
            <w:pPr>
              <w:pStyle w:val="naisc"/>
              <w:spacing w:before="0" w:after="0"/>
            </w:pPr>
            <w:r>
              <w:t>(08.01.2021. iebildums)</w:t>
            </w:r>
          </w:p>
          <w:p w14:paraId="2CDD2F13" w14:textId="77777777" w:rsidR="006658E1" w:rsidRDefault="006658E1" w:rsidP="006658E1">
            <w:pPr>
              <w:pStyle w:val="naisc"/>
              <w:spacing w:before="0" w:after="0"/>
              <w:rPr>
                <w:b/>
              </w:rPr>
            </w:pPr>
          </w:p>
          <w:p w14:paraId="3C63BEEC" w14:textId="77777777" w:rsidR="006658E1" w:rsidRPr="00D06248" w:rsidRDefault="006658E1" w:rsidP="006658E1">
            <w:pPr>
              <w:tabs>
                <w:tab w:val="left" w:pos="993"/>
              </w:tabs>
              <w:contextualSpacing/>
              <w:jc w:val="both"/>
              <w:outlineLvl w:val="0"/>
              <w:rPr>
                <w:rFonts w:eastAsia="Calibri"/>
                <w:bCs/>
                <w:color w:val="000000"/>
                <w:lang w:eastAsia="zh-CN"/>
              </w:rPr>
            </w:pPr>
            <w:r w:rsidRPr="00D06248">
              <w:rPr>
                <w:rFonts w:eastAsia="Calibri"/>
                <w:bCs/>
                <w:color w:val="000000"/>
                <w:lang w:eastAsia="zh-CN"/>
              </w:rPr>
              <w:t xml:space="preserve">Stratēģiskajos virzienos ir definēti tādi darbības rezultāti, kur kā iesaistītās puses ir arī minētas ministrijas, Pārresoru koordinācijas centrs, </w:t>
            </w:r>
            <w:r w:rsidRPr="00D06248">
              <w:rPr>
                <w:rFonts w:eastAsia="Calibri"/>
                <w:bCs/>
                <w:color w:val="000000"/>
                <w:lang w:eastAsia="zh-CN"/>
              </w:rPr>
              <w:lastRenderedPageBreak/>
              <w:t xml:space="preserve">augstākās izglītības iestādes u.c. Iepazīstoties ar plāna 2. pielikumā </w:t>
            </w:r>
            <w:r w:rsidRPr="00D06248">
              <w:rPr>
                <w:color w:val="000000"/>
                <w:lang w:eastAsia="zh-CN"/>
              </w:rPr>
              <w:t>"</w:t>
            </w:r>
            <w:r w:rsidRPr="00D06248">
              <w:rPr>
                <w:rFonts w:eastAsia="Calibri"/>
                <w:bCs/>
                <w:color w:val="000000"/>
                <w:lang w:eastAsia="zh-CN"/>
              </w:rPr>
              <w:t>Stratēģijas īstenošanas procesi, iesaistītās puses un to uzdevumi</w:t>
            </w:r>
            <w:r w:rsidRPr="00D06248">
              <w:rPr>
                <w:color w:val="000000"/>
                <w:lang w:eastAsia="zh-CN"/>
              </w:rPr>
              <w:t>"</w:t>
            </w:r>
            <w:r w:rsidRPr="00D06248">
              <w:rPr>
                <w:rFonts w:eastAsia="Calibri"/>
                <w:bCs/>
                <w:color w:val="000000"/>
                <w:lang w:eastAsia="zh-CN"/>
              </w:rPr>
              <w:t xml:space="preserve"> aprakstītajiem pasākumu plāna īstenošanas procesiem, jāsecina, ka iesaistīto pušu atbildība mācību organizēšanā un īstenošanā neatbilst iepriekš saturā klāstītajam. Piemēram, plāna 5. tabulas </w:t>
            </w:r>
            <w:bookmarkStart w:id="2" w:name="OLE_LINK3"/>
            <w:r w:rsidRPr="00D06248">
              <w:rPr>
                <w:rFonts w:eastAsia="Calibri"/>
                <w:bCs/>
                <w:color w:val="000000"/>
                <w:lang w:eastAsia="zh-CN"/>
              </w:rPr>
              <w:t>"</w:t>
            </w:r>
            <w:bookmarkEnd w:id="2"/>
            <w:r w:rsidRPr="00D06248">
              <w:rPr>
                <w:rFonts w:eastAsia="Calibri"/>
                <w:bCs/>
                <w:color w:val="000000"/>
                <w:lang w:eastAsia="zh-CN"/>
              </w:rPr>
              <w:t xml:space="preserve">5. prioritātes "Cilvēkresursu profesionalizācija un administratīvās kapacitātes celšana" mērķi un darbības rezultāti" Nr. 3.5.1. apakšpunkta mērķa rezultāts </w:t>
            </w:r>
            <w:r w:rsidRPr="00D06248">
              <w:rPr>
                <w:color w:val="000000"/>
                <w:lang w:eastAsia="zh-CN"/>
              </w:rPr>
              <w:t>"</w:t>
            </w:r>
            <w:r w:rsidRPr="00D06248">
              <w:rPr>
                <w:rFonts w:eastAsia="Calibri"/>
                <w:bCs/>
                <w:color w:val="000000"/>
                <w:lang w:eastAsia="zh-CN"/>
              </w:rPr>
              <w:t>Kompetenču centru pieejas izveide būtiskākajām profesijām publiskajā sektorā…</w:t>
            </w:r>
            <w:r w:rsidRPr="00D06248">
              <w:rPr>
                <w:color w:val="000000"/>
                <w:lang w:eastAsia="zh-CN"/>
              </w:rPr>
              <w:t>"</w:t>
            </w:r>
            <w:r w:rsidRPr="00D06248">
              <w:rPr>
                <w:rFonts w:eastAsia="Calibri"/>
                <w:bCs/>
                <w:color w:val="000000"/>
                <w:lang w:eastAsia="zh-CN"/>
              </w:rPr>
              <w:t xml:space="preserve"> īstenojams ne tikai Valsts administrācijas skolas organizēto mācību programmu ietvaros, bet tās var būt arī citu iestāžu nodrošinātas specifiskās apmācības. Ņemto vērā minēto, lūdzam precizēt 2. </w:t>
            </w:r>
            <w:r>
              <w:rPr>
                <w:rFonts w:eastAsia="Calibri"/>
                <w:bCs/>
                <w:color w:val="000000"/>
                <w:lang w:eastAsia="zh-CN"/>
              </w:rPr>
              <w:t>pielikuma tabulas saturu.</w:t>
            </w:r>
          </w:p>
        </w:tc>
        <w:tc>
          <w:tcPr>
            <w:tcW w:w="3427" w:type="dxa"/>
            <w:gridSpan w:val="2"/>
            <w:tcBorders>
              <w:left w:val="single" w:sz="6" w:space="0" w:color="000000" w:themeColor="text1"/>
              <w:bottom w:val="single" w:sz="4" w:space="0" w:color="auto"/>
              <w:right w:val="single" w:sz="6" w:space="0" w:color="000000" w:themeColor="text1"/>
            </w:tcBorders>
          </w:tcPr>
          <w:p w14:paraId="59A04776" w14:textId="70DDD20E" w:rsidR="006658E1" w:rsidRPr="005E64BA" w:rsidRDefault="006658E1" w:rsidP="006658E1">
            <w:pPr>
              <w:pStyle w:val="naisc"/>
              <w:spacing w:before="0" w:after="0"/>
              <w:jc w:val="both"/>
              <w:rPr>
                <w:b/>
                <w:bCs/>
              </w:rPr>
            </w:pPr>
            <w:r w:rsidRPr="005E64BA">
              <w:rPr>
                <w:b/>
                <w:bCs/>
              </w:rPr>
              <w:lastRenderedPageBreak/>
              <w:t>Ņemts vērā</w:t>
            </w:r>
          </w:p>
        </w:tc>
        <w:tc>
          <w:tcPr>
            <w:tcW w:w="1934" w:type="dxa"/>
            <w:tcBorders>
              <w:top w:val="single" w:sz="4" w:space="0" w:color="auto"/>
              <w:left w:val="single" w:sz="4" w:space="0" w:color="auto"/>
              <w:bottom w:val="single" w:sz="4" w:space="0" w:color="auto"/>
            </w:tcBorders>
          </w:tcPr>
          <w:p w14:paraId="74E27100" w14:textId="05B59B19" w:rsidR="006658E1" w:rsidRPr="00712B66" w:rsidRDefault="006658E1" w:rsidP="006658E1">
            <w:pPr>
              <w:jc w:val="both"/>
            </w:pPr>
            <w:r>
              <w:t>Skat. Plāna projekta 3.pielikumu.</w:t>
            </w:r>
          </w:p>
        </w:tc>
      </w:tr>
      <w:tr w:rsidR="006658E1" w:rsidRPr="00712B66" w14:paraId="65E21D50" w14:textId="77777777" w:rsidTr="7E8539FD">
        <w:tc>
          <w:tcPr>
            <w:tcW w:w="673" w:type="dxa"/>
            <w:tcBorders>
              <w:left w:val="single" w:sz="6" w:space="0" w:color="000000" w:themeColor="text1"/>
              <w:bottom w:val="single" w:sz="4" w:space="0" w:color="auto"/>
              <w:right w:val="single" w:sz="6" w:space="0" w:color="000000" w:themeColor="text1"/>
            </w:tcBorders>
          </w:tcPr>
          <w:p w14:paraId="090C37FE" w14:textId="310C55B6" w:rsidR="006658E1" w:rsidRDefault="00F76D07" w:rsidP="006658E1">
            <w:pPr>
              <w:pStyle w:val="naisc"/>
              <w:spacing w:before="0" w:after="0"/>
            </w:pPr>
            <w:r>
              <w:t>19</w:t>
            </w:r>
            <w:r w:rsidR="006658E1">
              <w:t>.</w:t>
            </w:r>
          </w:p>
        </w:tc>
        <w:tc>
          <w:tcPr>
            <w:tcW w:w="1835" w:type="dxa"/>
            <w:tcBorders>
              <w:left w:val="single" w:sz="6" w:space="0" w:color="000000" w:themeColor="text1"/>
              <w:bottom w:val="single" w:sz="4" w:space="0" w:color="auto"/>
              <w:right w:val="single" w:sz="6" w:space="0" w:color="000000" w:themeColor="text1"/>
            </w:tcBorders>
          </w:tcPr>
          <w:p w14:paraId="34CCCD10" w14:textId="77777777" w:rsidR="006658E1" w:rsidRDefault="006658E1" w:rsidP="006658E1">
            <w:pPr>
              <w:pStyle w:val="naisc"/>
              <w:spacing w:before="0" w:after="0"/>
              <w:jc w:val="both"/>
            </w:pPr>
            <w:r>
              <w:t>Skat. Plāna projekta 4. pielikumu.</w:t>
            </w:r>
          </w:p>
        </w:tc>
        <w:tc>
          <w:tcPr>
            <w:tcW w:w="7123" w:type="dxa"/>
            <w:gridSpan w:val="2"/>
            <w:tcBorders>
              <w:left w:val="single" w:sz="6" w:space="0" w:color="000000" w:themeColor="text1"/>
              <w:bottom w:val="single" w:sz="4" w:space="0" w:color="auto"/>
              <w:right w:val="single" w:sz="6" w:space="0" w:color="000000" w:themeColor="text1"/>
            </w:tcBorders>
          </w:tcPr>
          <w:p w14:paraId="2FE3B319" w14:textId="77777777" w:rsidR="006658E1" w:rsidRDefault="006658E1" w:rsidP="006658E1">
            <w:pPr>
              <w:pStyle w:val="naisc"/>
              <w:spacing w:before="0" w:after="0"/>
              <w:rPr>
                <w:b/>
              </w:rPr>
            </w:pPr>
            <w:r>
              <w:rPr>
                <w:b/>
              </w:rPr>
              <w:t>Tieslietu ministrija</w:t>
            </w:r>
          </w:p>
          <w:p w14:paraId="4D5A9DEF" w14:textId="77777777" w:rsidR="006658E1" w:rsidRDefault="006658E1" w:rsidP="006658E1">
            <w:pPr>
              <w:pStyle w:val="naisc"/>
              <w:spacing w:before="0" w:after="0"/>
            </w:pPr>
            <w:r>
              <w:t>(08.01.2021. iebildums)</w:t>
            </w:r>
          </w:p>
          <w:p w14:paraId="2869C5D6" w14:textId="77777777" w:rsidR="006658E1" w:rsidRDefault="006658E1" w:rsidP="006658E1">
            <w:pPr>
              <w:pStyle w:val="naisc"/>
              <w:spacing w:before="0" w:after="0"/>
              <w:rPr>
                <w:b/>
              </w:rPr>
            </w:pPr>
          </w:p>
          <w:p w14:paraId="7CD76307" w14:textId="77777777" w:rsidR="006658E1" w:rsidRPr="0048027D" w:rsidRDefault="006658E1" w:rsidP="006658E1">
            <w:pPr>
              <w:tabs>
                <w:tab w:val="left" w:pos="993"/>
              </w:tabs>
              <w:contextualSpacing/>
              <w:jc w:val="both"/>
              <w:outlineLvl w:val="0"/>
              <w:rPr>
                <w:rFonts w:eastAsia="Calibri"/>
                <w:lang w:eastAsia="en-US"/>
              </w:rPr>
            </w:pPr>
            <w:r w:rsidRPr="00D06248">
              <w:rPr>
                <w:rFonts w:eastAsia="Calibri"/>
                <w:bCs/>
                <w:color w:val="000000"/>
                <w:lang w:eastAsia="zh-CN"/>
              </w:rPr>
              <w:t xml:space="preserve">Nepieciešams precizēt plāna 4. pielikuma tabulu attiecībā uz 5. prioritātes </w:t>
            </w:r>
            <w:r w:rsidRPr="00D06248">
              <w:rPr>
                <w:rFonts w:eastAsia="Calibri"/>
                <w:lang w:eastAsia="en-US"/>
              </w:rPr>
              <w:t>"</w:t>
            </w:r>
            <w:r w:rsidRPr="00D06248">
              <w:rPr>
                <w:rFonts w:eastAsia="Calibri"/>
                <w:bCs/>
                <w:color w:val="000000"/>
                <w:lang w:eastAsia="zh-CN"/>
              </w:rPr>
              <w:t>Cilvēkresursu profesionalizācija un administratīvās kapacitātes celšana</w:t>
            </w:r>
            <w:r w:rsidRPr="00D06248">
              <w:rPr>
                <w:rFonts w:eastAsia="Calibri"/>
                <w:lang w:eastAsia="en-US"/>
              </w:rPr>
              <w:t>"</w:t>
            </w:r>
            <w:r w:rsidRPr="00D06248">
              <w:rPr>
                <w:rFonts w:eastAsia="Calibri"/>
                <w:bCs/>
                <w:color w:val="000000"/>
                <w:lang w:eastAsia="zh-CN"/>
              </w:rPr>
              <w:t xml:space="preserve"> Nr. 5.1. mērķi (56. lapā), jo iesaistīto pušu uzskaitījums neatbilst pasākumu plāna 37. lapā minētajam.</w:t>
            </w:r>
          </w:p>
        </w:tc>
        <w:tc>
          <w:tcPr>
            <w:tcW w:w="3427" w:type="dxa"/>
            <w:gridSpan w:val="2"/>
            <w:tcBorders>
              <w:left w:val="single" w:sz="6" w:space="0" w:color="000000" w:themeColor="text1"/>
              <w:bottom w:val="single" w:sz="4" w:space="0" w:color="auto"/>
              <w:right w:val="single" w:sz="6" w:space="0" w:color="000000" w:themeColor="text1"/>
            </w:tcBorders>
          </w:tcPr>
          <w:p w14:paraId="4C712114" w14:textId="77777777" w:rsidR="006658E1" w:rsidRDefault="006658E1" w:rsidP="006658E1">
            <w:pPr>
              <w:pStyle w:val="naisc"/>
              <w:spacing w:before="0" w:after="0"/>
              <w:jc w:val="both"/>
              <w:rPr>
                <w:b/>
                <w:bCs/>
              </w:rPr>
            </w:pPr>
            <w:r w:rsidRPr="005E64BA">
              <w:rPr>
                <w:b/>
                <w:bCs/>
              </w:rPr>
              <w:t>Ņemts vērā</w:t>
            </w:r>
          </w:p>
          <w:p w14:paraId="763B0FD2" w14:textId="77777777" w:rsidR="006658E1" w:rsidRDefault="006658E1" w:rsidP="006658E1">
            <w:pPr>
              <w:pStyle w:val="naisc"/>
              <w:spacing w:before="0" w:after="0"/>
              <w:jc w:val="both"/>
              <w:rPr>
                <w:b/>
                <w:bCs/>
              </w:rPr>
            </w:pPr>
          </w:p>
          <w:p w14:paraId="6DFEFDE6" w14:textId="230BB4AC" w:rsidR="006658E1" w:rsidRPr="005E64BA" w:rsidRDefault="006658E1" w:rsidP="006658E1">
            <w:pPr>
              <w:pStyle w:val="naisc"/>
              <w:spacing w:before="0" w:after="0"/>
              <w:jc w:val="both"/>
            </w:pPr>
          </w:p>
        </w:tc>
        <w:tc>
          <w:tcPr>
            <w:tcW w:w="1934" w:type="dxa"/>
            <w:tcBorders>
              <w:top w:val="single" w:sz="4" w:space="0" w:color="auto"/>
              <w:left w:val="single" w:sz="4" w:space="0" w:color="auto"/>
              <w:bottom w:val="single" w:sz="4" w:space="0" w:color="auto"/>
            </w:tcBorders>
          </w:tcPr>
          <w:p w14:paraId="6A5F5238" w14:textId="465A7202" w:rsidR="006658E1" w:rsidRPr="00712B66" w:rsidRDefault="006658E1" w:rsidP="006658E1">
            <w:pPr>
              <w:jc w:val="both"/>
            </w:pPr>
            <w:r>
              <w:t>Skat. Plāna projekta 3.5. sadaļu un 2. pielikumu.</w:t>
            </w:r>
          </w:p>
        </w:tc>
      </w:tr>
      <w:tr w:rsidR="006658E1" w:rsidRPr="00712B66" w14:paraId="1D5D5110" w14:textId="77777777" w:rsidTr="7E8539FD">
        <w:tc>
          <w:tcPr>
            <w:tcW w:w="673" w:type="dxa"/>
            <w:tcBorders>
              <w:left w:val="single" w:sz="6" w:space="0" w:color="000000" w:themeColor="text1"/>
              <w:bottom w:val="single" w:sz="4" w:space="0" w:color="auto"/>
              <w:right w:val="single" w:sz="6" w:space="0" w:color="000000" w:themeColor="text1"/>
            </w:tcBorders>
          </w:tcPr>
          <w:p w14:paraId="2E8B6047" w14:textId="72730F57" w:rsidR="006658E1" w:rsidRDefault="00F76D07" w:rsidP="006658E1">
            <w:pPr>
              <w:pStyle w:val="naisc"/>
              <w:spacing w:before="0" w:after="0"/>
            </w:pPr>
            <w:r>
              <w:t>20</w:t>
            </w:r>
            <w:r w:rsidR="006658E1">
              <w:t>.</w:t>
            </w:r>
          </w:p>
        </w:tc>
        <w:tc>
          <w:tcPr>
            <w:tcW w:w="1835" w:type="dxa"/>
            <w:tcBorders>
              <w:left w:val="single" w:sz="6" w:space="0" w:color="000000" w:themeColor="text1"/>
              <w:bottom w:val="single" w:sz="4" w:space="0" w:color="auto"/>
              <w:right w:val="single" w:sz="6" w:space="0" w:color="000000" w:themeColor="text1"/>
            </w:tcBorders>
          </w:tcPr>
          <w:p w14:paraId="33F951F2" w14:textId="77777777" w:rsidR="006658E1" w:rsidRDefault="006658E1" w:rsidP="006658E1">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7EC975B2" w14:textId="77777777" w:rsidR="006658E1" w:rsidRDefault="006658E1" w:rsidP="006658E1">
            <w:pPr>
              <w:pStyle w:val="naisc"/>
              <w:spacing w:before="0" w:after="0"/>
              <w:rPr>
                <w:b/>
              </w:rPr>
            </w:pPr>
            <w:r>
              <w:rPr>
                <w:b/>
              </w:rPr>
              <w:t>Tieslietu ministrija</w:t>
            </w:r>
          </w:p>
          <w:p w14:paraId="11B52421" w14:textId="77777777" w:rsidR="006658E1" w:rsidRDefault="006658E1" w:rsidP="006658E1">
            <w:pPr>
              <w:pStyle w:val="naisc"/>
              <w:spacing w:before="0" w:after="0"/>
            </w:pPr>
            <w:r>
              <w:t>(08.01.2021. iebildums)</w:t>
            </w:r>
          </w:p>
          <w:p w14:paraId="6D37C035" w14:textId="77777777" w:rsidR="006658E1" w:rsidRDefault="006658E1" w:rsidP="006658E1">
            <w:pPr>
              <w:pStyle w:val="naisc"/>
              <w:spacing w:before="0" w:after="0"/>
              <w:rPr>
                <w:b/>
              </w:rPr>
            </w:pPr>
          </w:p>
          <w:p w14:paraId="0ED59044" w14:textId="77777777" w:rsidR="006658E1" w:rsidRPr="00D06248" w:rsidRDefault="006658E1" w:rsidP="006658E1">
            <w:pPr>
              <w:tabs>
                <w:tab w:val="left" w:pos="993"/>
              </w:tabs>
              <w:contextualSpacing/>
              <w:jc w:val="both"/>
              <w:outlineLvl w:val="0"/>
              <w:rPr>
                <w:rFonts w:eastAsia="Calibri"/>
                <w:bCs/>
                <w:color w:val="000000"/>
                <w:sz w:val="22"/>
                <w:szCs w:val="22"/>
                <w:lang w:eastAsia="zh-CN"/>
              </w:rPr>
            </w:pPr>
            <w:r w:rsidRPr="00D06248">
              <w:rPr>
                <w:rFonts w:eastAsia="Calibri"/>
                <w:lang w:eastAsia="en-US"/>
              </w:rPr>
              <w:t xml:space="preserve">Atbilstoši Atjaunošanas un noturības mehānisma plāna projektā noteiktajam nošķirtas investīcijas un reformas valsts pārvaldes uzlabošanai un pasākumiem, ko plānots attiecināt, piemēram, uz noziedzīgi iegūtu līdzekļu legalizācijas, ekonomisko noziegumu identificēšanas, izmeklēšanas un tiesvedības procesu modernizāciju un preventīvo darbību īstenošanu. Valsts pārvaldes uzlabošanas viena no reformām saistīta ar valsts un pašvaldību nodarbināto kapacitātes pilnveidi iepirkumu, pretkorupcijas, krāpšanas, ēnu ekonomikas un interešu konflikta novēršanas jomās (skat. Likuma varas komponentes Reformu un investīciju virziens Nr. 3. Valsts pārvaldes uzlabošana, dialoga un pilsoniskās līdzdalības veicināšana). Attiecīgi, lai radītu </w:t>
            </w:r>
            <w:r w:rsidRPr="00D06248">
              <w:rPr>
                <w:rFonts w:eastAsia="Calibri"/>
                <w:lang w:eastAsia="en-US"/>
              </w:rPr>
              <w:lastRenderedPageBreak/>
              <w:t xml:space="preserve">precīzu izpratni par mērķu grupām, aicinām projekta 26. lapā norādīto 3.1.6. un 3.1.7. apakšpunktu formulējumā, kā arī 54. lapā norādīto 1.6. un 1.7. apakšpunktu formulējumā vārdus </w:t>
            </w:r>
            <w:r w:rsidRPr="00D06248">
              <w:rPr>
                <w:color w:val="000000"/>
                <w:lang w:eastAsia="zh-CN"/>
              </w:rPr>
              <w:t>"</w:t>
            </w:r>
            <w:r w:rsidRPr="00D06248">
              <w:rPr>
                <w:rFonts w:eastAsia="Calibri"/>
                <w:lang w:eastAsia="en-US"/>
              </w:rPr>
              <w:t>tiesībsargājošās institūcijas</w:t>
            </w:r>
            <w:r w:rsidRPr="00D06248">
              <w:rPr>
                <w:color w:val="000000"/>
                <w:lang w:eastAsia="zh-CN"/>
              </w:rPr>
              <w:t>"</w:t>
            </w:r>
            <w:r w:rsidRPr="00D06248">
              <w:rPr>
                <w:rFonts w:eastAsia="Calibri"/>
                <w:lang w:eastAsia="en-US"/>
              </w:rPr>
              <w:t xml:space="preserve">, </w:t>
            </w:r>
            <w:r w:rsidRPr="00D06248">
              <w:rPr>
                <w:color w:val="000000"/>
                <w:lang w:eastAsia="zh-CN"/>
              </w:rPr>
              <w:t>"</w:t>
            </w:r>
            <w:r w:rsidRPr="00D06248">
              <w:rPr>
                <w:rFonts w:eastAsia="Calibri"/>
                <w:lang w:eastAsia="en-US"/>
              </w:rPr>
              <w:t>tiesībsargājošās iestādes</w:t>
            </w:r>
            <w:r w:rsidRPr="00D06248">
              <w:rPr>
                <w:color w:val="000000"/>
                <w:lang w:eastAsia="zh-CN"/>
              </w:rPr>
              <w:t>"</w:t>
            </w:r>
            <w:r w:rsidRPr="00D06248">
              <w:rPr>
                <w:rFonts w:eastAsia="Calibri"/>
                <w:lang w:eastAsia="en-US"/>
              </w:rPr>
              <w:t xml:space="preserve"> (attiecīgajā locījumā) attiecīgi aizstāt ar </w:t>
            </w:r>
            <w:r w:rsidRPr="00D06248">
              <w:rPr>
                <w:color w:val="000000"/>
                <w:lang w:eastAsia="zh-CN"/>
              </w:rPr>
              <w:t>"</w:t>
            </w:r>
            <w:r w:rsidRPr="00D06248">
              <w:rPr>
                <w:rFonts w:eastAsia="Calibri"/>
                <w:lang w:eastAsia="en-US"/>
              </w:rPr>
              <w:t>valsts un pašvaldību nodarbinātie</w:t>
            </w:r>
            <w:r w:rsidRPr="00D06248">
              <w:rPr>
                <w:color w:val="000000"/>
                <w:lang w:eastAsia="zh-CN"/>
              </w:rPr>
              <w:t>"</w:t>
            </w:r>
            <w:r w:rsidRPr="00D06248">
              <w:rPr>
                <w:rFonts w:eastAsia="Calibri"/>
                <w:lang w:eastAsia="en-US"/>
              </w:rPr>
              <w:t xml:space="preserve">, </w:t>
            </w:r>
            <w:r w:rsidRPr="00D06248">
              <w:rPr>
                <w:color w:val="000000"/>
                <w:lang w:eastAsia="zh-CN"/>
              </w:rPr>
              <w:t>"</w:t>
            </w:r>
            <w:r w:rsidRPr="00D06248">
              <w:rPr>
                <w:rFonts w:eastAsia="Calibri"/>
                <w:lang w:eastAsia="en-US"/>
              </w:rPr>
              <w:t>valsts un pašvaldību institūcijas</w:t>
            </w:r>
            <w:r w:rsidRPr="00D06248">
              <w:rPr>
                <w:color w:val="000000"/>
                <w:lang w:eastAsia="zh-CN"/>
              </w:rPr>
              <w:t>"</w:t>
            </w:r>
            <w:r w:rsidRPr="00D06248">
              <w:rPr>
                <w:rFonts w:eastAsia="Calibri"/>
                <w:lang w:eastAsia="en-US"/>
              </w:rPr>
              <w:t xml:space="preserve">, </w:t>
            </w:r>
            <w:r w:rsidRPr="00D06248">
              <w:rPr>
                <w:color w:val="000000"/>
                <w:lang w:eastAsia="zh-CN"/>
              </w:rPr>
              <w:t>"</w:t>
            </w:r>
            <w:r w:rsidRPr="00D06248">
              <w:rPr>
                <w:rFonts w:eastAsia="Calibri"/>
                <w:lang w:eastAsia="en-US"/>
              </w:rPr>
              <w:t>valsts un pašvaldību iestādes</w:t>
            </w:r>
            <w:r w:rsidRPr="00D06248">
              <w:rPr>
                <w:color w:val="000000"/>
                <w:lang w:eastAsia="zh-CN"/>
              </w:rPr>
              <w:t>"</w:t>
            </w:r>
            <w:r>
              <w:rPr>
                <w:rFonts w:eastAsia="Calibri"/>
                <w:lang w:eastAsia="en-US"/>
              </w:rPr>
              <w:t>.</w:t>
            </w:r>
          </w:p>
        </w:tc>
        <w:tc>
          <w:tcPr>
            <w:tcW w:w="3427" w:type="dxa"/>
            <w:gridSpan w:val="2"/>
            <w:tcBorders>
              <w:left w:val="single" w:sz="6" w:space="0" w:color="000000" w:themeColor="text1"/>
              <w:bottom w:val="single" w:sz="4" w:space="0" w:color="auto"/>
              <w:right w:val="single" w:sz="6" w:space="0" w:color="000000" w:themeColor="text1"/>
            </w:tcBorders>
          </w:tcPr>
          <w:p w14:paraId="320C4078" w14:textId="7AB89DAC" w:rsidR="006658E1" w:rsidRPr="00DD56DC" w:rsidRDefault="006658E1" w:rsidP="006658E1">
            <w:pPr>
              <w:pStyle w:val="naisc"/>
              <w:spacing w:before="0" w:after="0"/>
              <w:jc w:val="both"/>
              <w:rPr>
                <w:b/>
                <w:bCs/>
              </w:rPr>
            </w:pPr>
            <w:r w:rsidRPr="00DD56DC">
              <w:rPr>
                <w:b/>
                <w:bCs/>
              </w:rPr>
              <w:lastRenderedPageBreak/>
              <w:t>Ņemts vērā</w:t>
            </w:r>
          </w:p>
        </w:tc>
        <w:tc>
          <w:tcPr>
            <w:tcW w:w="1934" w:type="dxa"/>
            <w:tcBorders>
              <w:top w:val="single" w:sz="4" w:space="0" w:color="auto"/>
              <w:left w:val="single" w:sz="4" w:space="0" w:color="auto"/>
              <w:bottom w:val="single" w:sz="4" w:space="0" w:color="auto"/>
            </w:tcBorders>
          </w:tcPr>
          <w:p w14:paraId="1B12052D" w14:textId="2996CDA3" w:rsidR="006658E1" w:rsidRPr="00712B66" w:rsidRDefault="006658E1" w:rsidP="006658E1">
            <w:pPr>
              <w:jc w:val="both"/>
            </w:pPr>
            <w:r>
              <w:t>Skat. Plāna projekta 2. pielikumu.</w:t>
            </w:r>
          </w:p>
        </w:tc>
      </w:tr>
      <w:tr w:rsidR="00617978" w:rsidRPr="00712B66" w14:paraId="7BB65F49" w14:textId="77777777" w:rsidTr="7E8539FD">
        <w:tc>
          <w:tcPr>
            <w:tcW w:w="673" w:type="dxa"/>
            <w:tcBorders>
              <w:left w:val="single" w:sz="6" w:space="0" w:color="000000" w:themeColor="text1"/>
              <w:bottom w:val="single" w:sz="4" w:space="0" w:color="auto"/>
              <w:right w:val="single" w:sz="6" w:space="0" w:color="000000" w:themeColor="text1"/>
            </w:tcBorders>
          </w:tcPr>
          <w:p w14:paraId="48B97470" w14:textId="432080EE" w:rsidR="00617978" w:rsidRDefault="00F76D07" w:rsidP="00617978">
            <w:pPr>
              <w:pStyle w:val="naisc"/>
              <w:spacing w:before="0" w:after="0"/>
            </w:pPr>
            <w:r>
              <w:t>21.</w:t>
            </w:r>
          </w:p>
        </w:tc>
        <w:tc>
          <w:tcPr>
            <w:tcW w:w="1835" w:type="dxa"/>
            <w:tcBorders>
              <w:left w:val="single" w:sz="6" w:space="0" w:color="000000" w:themeColor="text1"/>
              <w:bottom w:val="single" w:sz="4" w:space="0" w:color="auto"/>
              <w:right w:val="single" w:sz="6" w:space="0" w:color="000000" w:themeColor="text1"/>
            </w:tcBorders>
          </w:tcPr>
          <w:p w14:paraId="0DB4C435" w14:textId="7E43EFCE" w:rsidR="00617978" w:rsidRDefault="00617978" w:rsidP="00617978">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0F53B2F1" w14:textId="77777777" w:rsidR="00617978" w:rsidRDefault="00617978" w:rsidP="00617978">
            <w:pPr>
              <w:pStyle w:val="naisc"/>
              <w:spacing w:before="0" w:after="0"/>
              <w:rPr>
                <w:b/>
              </w:rPr>
            </w:pPr>
            <w:r>
              <w:rPr>
                <w:b/>
              </w:rPr>
              <w:t>Tieslietu ministrija</w:t>
            </w:r>
          </w:p>
          <w:p w14:paraId="190479D5" w14:textId="77777777" w:rsidR="00617978" w:rsidRDefault="00617978" w:rsidP="00617978">
            <w:pPr>
              <w:pStyle w:val="naisc"/>
              <w:spacing w:before="0" w:after="0"/>
            </w:pPr>
            <w:r>
              <w:t>(08.01.2021. iebildums)</w:t>
            </w:r>
          </w:p>
          <w:p w14:paraId="5BC28F48" w14:textId="77777777" w:rsidR="00617978" w:rsidRDefault="00617978" w:rsidP="00617978">
            <w:pPr>
              <w:pStyle w:val="naisc"/>
              <w:spacing w:before="0" w:after="0"/>
            </w:pPr>
          </w:p>
          <w:p w14:paraId="6AD7DEB9" w14:textId="51FFB21E" w:rsidR="00617978" w:rsidRDefault="00617978" w:rsidP="00617978">
            <w:pPr>
              <w:pStyle w:val="naisc"/>
              <w:spacing w:before="0" w:after="0"/>
              <w:jc w:val="both"/>
              <w:rPr>
                <w:b/>
              </w:rPr>
            </w:pPr>
            <w:r w:rsidRPr="00D06248">
              <w:rPr>
                <w:bCs/>
              </w:rPr>
              <w:t>Šobrīd projekts ir vairāk informatīvs, jo pietrūkst konkrēta rīcības plāna ar termiņiem un konkrētām darbībām. Nav saprotams, kā tiks mērīti rezultāti un kā pārliecināsies, vai ir sasniegts iecerētais. Vairākās prioritātēs minētie pasākumi ļoti līdzīgā veidā jau ir īstenoti iepriekšējos periodos. Līdz ar to nav saprotams, kas noticis ar sasniegtajiem rezultātiem, vai tiešām nav nepieciešams iet soli tālāk, īpaši, ņemot vērā jauno realitāti. Ievērojot minēto, projektā nepieciešams precizēt prioritāšu darbības rezultātus, izsakot tos rezultāta rādītājos. Tādējādi būtu iespējams izmērīt darbības, kas veiktas konkrētajā termiņā un secināt, vai tiek risināta prioritātes pamatproblēma.</w:t>
            </w:r>
          </w:p>
        </w:tc>
        <w:tc>
          <w:tcPr>
            <w:tcW w:w="3427" w:type="dxa"/>
            <w:gridSpan w:val="2"/>
            <w:tcBorders>
              <w:left w:val="single" w:sz="6" w:space="0" w:color="000000" w:themeColor="text1"/>
              <w:bottom w:val="single" w:sz="4" w:space="0" w:color="auto"/>
              <w:right w:val="single" w:sz="6" w:space="0" w:color="000000" w:themeColor="text1"/>
            </w:tcBorders>
          </w:tcPr>
          <w:p w14:paraId="76884542" w14:textId="42C3D460" w:rsidR="00617978" w:rsidRPr="00655475" w:rsidRDefault="00617978" w:rsidP="00655475">
            <w:pPr>
              <w:jc w:val="both"/>
              <w:rPr>
                <w:b/>
              </w:rPr>
            </w:pPr>
            <w:r w:rsidRPr="00655475">
              <w:rPr>
                <w:b/>
              </w:rPr>
              <w:t>Uzskatāms par saskaņotu e</w:t>
            </w:r>
            <w:r w:rsidR="00655475" w:rsidRPr="00655475">
              <w:rPr>
                <w:b/>
              </w:rPr>
              <w:t>lektroniskās saskaņošanas laikā</w:t>
            </w:r>
          </w:p>
        </w:tc>
        <w:tc>
          <w:tcPr>
            <w:tcW w:w="1934" w:type="dxa"/>
            <w:tcBorders>
              <w:top w:val="single" w:sz="4" w:space="0" w:color="auto"/>
              <w:left w:val="single" w:sz="4" w:space="0" w:color="auto"/>
              <w:bottom w:val="single" w:sz="4" w:space="0" w:color="auto"/>
            </w:tcBorders>
          </w:tcPr>
          <w:p w14:paraId="64D5DE19" w14:textId="3E960397" w:rsidR="00617978" w:rsidRDefault="00617978" w:rsidP="00617978">
            <w:pPr>
              <w:jc w:val="both"/>
            </w:pPr>
            <w:r>
              <w:t>Skat. Plāna projekta 3.1., 3.2., 3.3., 3.4. un 3.5. sadaļas, 2. pielikumu.</w:t>
            </w:r>
          </w:p>
        </w:tc>
      </w:tr>
      <w:tr w:rsidR="00617978" w:rsidRPr="00712B66" w14:paraId="49438178" w14:textId="77777777" w:rsidTr="7E8539FD">
        <w:tc>
          <w:tcPr>
            <w:tcW w:w="673" w:type="dxa"/>
            <w:tcBorders>
              <w:left w:val="single" w:sz="6" w:space="0" w:color="000000" w:themeColor="text1"/>
              <w:bottom w:val="single" w:sz="4" w:space="0" w:color="auto"/>
              <w:right w:val="single" w:sz="6" w:space="0" w:color="000000" w:themeColor="text1"/>
            </w:tcBorders>
          </w:tcPr>
          <w:p w14:paraId="54A0DEC1" w14:textId="50FEFBE8" w:rsidR="00617978" w:rsidRDefault="00F76D07" w:rsidP="00617978">
            <w:pPr>
              <w:pStyle w:val="naisc"/>
              <w:spacing w:before="0" w:after="0"/>
            </w:pPr>
            <w:r>
              <w:t>22.</w:t>
            </w:r>
          </w:p>
        </w:tc>
        <w:tc>
          <w:tcPr>
            <w:tcW w:w="1835" w:type="dxa"/>
            <w:tcBorders>
              <w:left w:val="single" w:sz="6" w:space="0" w:color="000000" w:themeColor="text1"/>
              <w:bottom w:val="single" w:sz="4" w:space="0" w:color="auto"/>
              <w:right w:val="single" w:sz="6" w:space="0" w:color="000000" w:themeColor="text1"/>
            </w:tcBorders>
          </w:tcPr>
          <w:p w14:paraId="3A8E7F5C" w14:textId="3AD05EF4" w:rsidR="00617978" w:rsidRDefault="00617978" w:rsidP="00617978">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66D782D7" w14:textId="77777777" w:rsidR="00617978" w:rsidRDefault="00617978" w:rsidP="00617978">
            <w:pPr>
              <w:pStyle w:val="naisc"/>
              <w:spacing w:before="0" w:after="0"/>
              <w:rPr>
                <w:b/>
              </w:rPr>
            </w:pPr>
            <w:r>
              <w:rPr>
                <w:b/>
              </w:rPr>
              <w:t>Tieslietu ministrija</w:t>
            </w:r>
          </w:p>
          <w:p w14:paraId="74C367E4" w14:textId="77777777" w:rsidR="00617978" w:rsidRDefault="00617978" w:rsidP="00617978">
            <w:pPr>
              <w:pStyle w:val="naisc"/>
              <w:spacing w:before="0" w:after="0"/>
            </w:pPr>
            <w:r>
              <w:t>(08.01.2021. iebildums)</w:t>
            </w:r>
          </w:p>
          <w:p w14:paraId="0775845A" w14:textId="77777777" w:rsidR="00617978" w:rsidRDefault="00617978" w:rsidP="00617978">
            <w:pPr>
              <w:pStyle w:val="naisc"/>
              <w:spacing w:before="0" w:after="0"/>
              <w:rPr>
                <w:b/>
              </w:rPr>
            </w:pPr>
          </w:p>
          <w:p w14:paraId="07B8BFD2" w14:textId="4263212D" w:rsidR="00617978" w:rsidRDefault="00617978" w:rsidP="00617978">
            <w:pPr>
              <w:pStyle w:val="naisc"/>
              <w:spacing w:before="0" w:after="0"/>
              <w:jc w:val="both"/>
              <w:rPr>
                <w:b/>
              </w:rPr>
            </w:pPr>
            <w:r w:rsidRPr="00D06248">
              <w:rPr>
                <w:rFonts w:eastAsia="Calibri"/>
                <w:bCs/>
                <w:color w:val="000000"/>
                <w:lang w:eastAsia="zh-CN"/>
              </w:rPr>
              <w:t xml:space="preserve">Attiecībā uz projekta prioritāti "Inovācija un koprade modernai rīcībpolitikai un pakalpojumiem publiskajā pārvaldē" jau iepriekšējā periodā tika īstenota daļa no līdzīga veida pasākumiem. Tos nepieciešams turpināt, taču </w:t>
            </w:r>
            <w:r w:rsidRPr="006F74BB">
              <w:rPr>
                <w:rFonts w:eastAsia="Calibri"/>
                <w:bCs/>
                <w:color w:val="000000"/>
                <w:lang w:eastAsia="zh-CN"/>
              </w:rPr>
              <w:t>nepieciešams daudz vairāk popularizēt jau radīto. Īpaši attiecībā uz pakalpojuma dizainu, kur ieguldīti resursi jau iepriekšējā plānošanas periodā. Lūdzam projektā ietvert informāciju par publiski pieejamiem materiāliem un apmācības sistēmu, piemēram, kā ieviest pakalpojuma dizaina pieeju iestādē, kā sagatavot komandu par pakalpojuma dizaina jautājumiem, kā uzturēt iestādes inovāciju laboratoriju pakalpojumu attīstībai</w:t>
            </w:r>
            <w:r w:rsidRPr="00D06248">
              <w:rPr>
                <w:rFonts w:eastAsia="Calibri"/>
                <w:bCs/>
                <w:color w:val="000000"/>
                <w:lang w:eastAsia="zh-CN"/>
              </w:rPr>
              <w:t xml:space="preserve">, būtu nepieciešama reāli strādājoša starpnozaru domu apmaiņas grupa par pakalpojumu attīstību. Ņemot </w:t>
            </w:r>
            <w:r w:rsidRPr="00D06248">
              <w:rPr>
                <w:rFonts w:eastAsia="Calibri"/>
                <w:bCs/>
                <w:color w:val="000000"/>
                <w:lang w:eastAsia="zh-CN"/>
              </w:rPr>
              <w:lastRenderedPageBreak/>
              <w:t>vērā digitālās transformācijas tēmas aktualitāti, pakalpojuma attīstība varētu būt valstiski kopīgi vadīta tēma inovāciju prioritātē.</w:t>
            </w:r>
          </w:p>
        </w:tc>
        <w:tc>
          <w:tcPr>
            <w:tcW w:w="3427" w:type="dxa"/>
            <w:gridSpan w:val="2"/>
            <w:tcBorders>
              <w:left w:val="single" w:sz="6" w:space="0" w:color="000000" w:themeColor="text1"/>
              <w:bottom w:val="single" w:sz="4" w:space="0" w:color="auto"/>
              <w:right w:val="single" w:sz="6" w:space="0" w:color="000000" w:themeColor="text1"/>
            </w:tcBorders>
          </w:tcPr>
          <w:p w14:paraId="55A39522" w14:textId="57DA0F52" w:rsidR="00617978" w:rsidRPr="00655475" w:rsidRDefault="00617978" w:rsidP="00655475">
            <w:pPr>
              <w:jc w:val="both"/>
              <w:rPr>
                <w:b/>
              </w:rPr>
            </w:pPr>
            <w:r w:rsidRPr="00655475">
              <w:rPr>
                <w:b/>
              </w:rPr>
              <w:lastRenderedPageBreak/>
              <w:t>Uzskatāms par saskaņotu e</w:t>
            </w:r>
            <w:r w:rsidR="00655475" w:rsidRPr="00655475">
              <w:rPr>
                <w:b/>
              </w:rPr>
              <w:t>lektroniskās saskaņošanas laikā</w:t>
            </w:r>
            <w:r w:rsidRPr="00655475">
              <w:rPr>
                <w:b/>
              </w:rPr>
              <w:t xml:space="preserve"> </w:t>
            </w:r>
          </w:p>
        </w:tc>
        <w:tc>
          <w:tcPr>
            <w:tcW w:w="1934" w:type="dxa"/>
            <w:tcBorders>
              <w:top w:val="single" w:sz="4" w:space="0" w:color="auto"/>
              <w:left w:val="single" w:sz="4" w:space="0" w:color="auto"/>
              <w:bottom w:val="single" w:sz="4" w:space="0" w:color="auto"/>
            </w:tcBorders>
          </w:tcPr>
          <w:p w14:paraId="7F9D1BE1" w14:textId="1C1495BE" w:rsidR="00617978" w:rsidRDefault="00617978" w:rsidP="00617978">
            <w:pPr>
              <w:jc w:val="both"/>
            </w:pPr>
            <w:r>
              <w:t>Skat. Plāna projekta 3.2. sadaļu.</w:t>
            </w:r>
          </w:p>
        </w:tc>
      </w:tr>
      <w:tr w:rsidR="00617978" w:rsidRPr="00712B66" w14:paraId="0D9C690A" w14:textId="77777777" w:rsidTr="7E8539FD">
        <w:tc>
          <w:tcPr>
            <w:tcW w:w="673" w:type="dxa"/>
            <w:tcBorders>
              <w:left w:val="single" w:sz="6" w:space="0" w:color="000000" w:themeColor="text1"/>
              <w:bottom w:val="single" w:sz="4" w:space="0" w:color="auto"/>
              <w:right w:val="single" w:sz="6" w:space="0" w:color="000000" w:themeColor="text1"/>
            </w:tcBorders>
          </w:tcPr>
          <w:p w14:paraId="5025C051" w14:textId="6112DE21" w:rsidR="00617978" w:rsidRDefault="00F76D07" w:rsidP="00617978">
            <w:pPr>
              <w:pStyle w:val="naisc"/>
              <w:spacing w:before="0" w:after="0"/>
            </w:pPr>
            <w:r>
              <w:t>23.</w:t>
            </w:r>
          </w:p>
        </w:tc>
        <w:tc>
          <w:tcPr>
            <w:tcW w:w="1835" w:type="dxa"/>
            <w:tcBorders>
              <w:left w:val="single" w:sz="6" w:space="0" w:color="000000" w:themeColor="text1"/>
              <w:bottom w:val="single" w:sz="4" w:space="0" w:color="auto"/>
              <w:right w:val="single" w:sz="6" w:space="0" w:color="000000" w:themeColor="text1"/>
            </w:tcBorders>
          </w:tcPr>
          <w:p w14:paraId="534FCF19" w14:textId="6933C3BA" w:rsidR="00617978" w:rsidRDefault="00617978" w:rsidP="00617978">
            <w:pPr>
              <w:pStyle w:val="naisc"/>
              <w:spacing w:before="0" w:after="0"/>
              <w:jc w:val="both"/>
            </w:pPr>
            <w:r>
              <w:t>Skat. Plāna projekta 3. pielikumu.</w:t>
            </w:r>
          </w:p>
        </w:tc>
        <w:tc>
          <w:tcPr>
            <w:tcW w:w="7123" w:type="dxa"/>
            <w:gridSpan w:val="2"/>
            <w:tcBorders>
              <w:left w:val="single" w:sz="6" w:space="0" w:color="000000" w:themeColor="text1"/>
              <w:bottom w:val="single" w:sz="4" w:space="0" w:color="auto"/>
              <w:right w:val="single" w:sz="6" w:space="0" w:color="000000" w:themeColor="text1"/>
            </w:tcBorders>
          </w:tcPr>
          <w:p w14:paraId="01E8B760" w14:textId="77777777" w:rsidR="00617978" w:rsidRDefault="00617978" w:rsidP="00617978">
            <w:pPr>
              <w:pStyle w:val="naisc"/>
              <w:spacing w:before="0" w:after="0"/>
              <w:rPr>
                <w:b/>
              </w:rPr>
            </w:pPr>
            <w:r>
              <w:rPr>
                <w:b/>
              </w:rPr>
              <w:t>Tieslietu ministrija</w:t>
            </w:r>
          </w:p>
          <w:p w14:paraId="57CF9A91" w14:textId="77777777" w:rsidR="00617978" w:rsidRDefault="00617978" w:rsidP="00617978">
            <w:pPr>
              <w:pStyle w:val="naisc"/>
              <w:spacing w:before="0" w:after="0"/>
            </w:pPr>
            <w:r>
              <w:t>(08.01.2021. iebildums)</w:t>
            </w:r>
          </w:p>
          <w:p w14:paraId="52698B76" w14:textId="77777777" w:rsidR="00617978" w:rsidRDefault="00617978" w:rsidP="00617978">
            <w:pPr>
              <w:pStyle w:val="naisc"/>
              <w:spacing w:before="0" w:after="0"/>
              <w:jc w:val="both"/>
              <w:rPr>
                <w:b/>
              </w:rPr>
            </w:pPr>
          </w:p>
          <w:p w14:paraId="37C8CC99" w14:textId="36181618" w:rsidR="00617978" w:rsidRDefault="00617978" w:rsidP="00617978">
            <w:pPr>
              <w:pStyle w:val="naisc"/>
              <w:spacing w:before="0" w:after="0"/>
              <w:jc w:val="both"/>
              <w:rPr>
                <w:b/>
              </w:rPr>
            </w:pPr>
            <w:r w:rsidRPr="00D06248">
              <w:rPr>
                <w:rFonts w:eastAsia="Calibri"/>
                <w:bCs/>
                <w:color w:val="000000"/>
                <w:lang w:eastAsia="zh-CN"/>
              </w:rPr>
              <w:t>Plāna 3. pielikumā jāsvītro iestāžu darbības stratēģijas kā mācību vajadzību avots, jo stratēģijas nekalpo šim mērķim, bet mācību vajadzību izzināšana saistāma ar nodarbināto novērtēšanas procesu, kura loma šajā pasākumu plānā arī ir īpaši izcelta.</w:t>
            </w:r>
          </w:p>
        </w:tc>
        <w:tc>
          <w:tcPr>
            <w:tcW w:w="3427" w:type="dxa"/>
            <w:gridSpan w:val="2"/>
            <w:tcBorders>
              <w:left w:val="single" w:sz="6" w:space="0" w:color="000000" w:themeColor="text1"/>
              <w:bottom w:val="single" w:sz="4" w:space="0" w:color="auto"/>
              <w:right w:val="single" w:sz="6" w:space="0" w:color="000000" w:themeColor="text1"/>
            </w:tcBorders>
          </w:tcPr>
          <w:p w14:paraId="2D5DCD3E" w14:textId="02CFB0C2" w:rsidR="00617978" w:rsidRPr="00655475" w:rsidRDefault="00617978" w:rsidP="00655475">
            <w:pPr>
              <w:jc w:val="both"/>
              <w:rPr>
                <w:b/>
              </w:rPr>
            </w:pPr>
            <w:r w:rsidRPr="00655475">
              <w:rPr>
                <w:b/>
              </w:rPr>
              <w:t>Uzskatāms par saskaņotu e</w:t>
            </w:r>
            <w:r w:rsidR="00655475" w:rsidRPr="00655475">
              <w:rPr>
                <w:b/>
              </w:rPr>
              <w:t>lektroniskās saskaņošanas laikā</w:t>
            </w:r>
          </w:p>
        </w:tc>
        <w:tc>
          <w:tcPr>
            <w:tcW w:w="1934" w:type="dxa"/>
            <w:tcBorders>
              <w:top w:val="single" w:sz="4" w:space="0" w:color="auto"/>
              <w:left w:val="single" w:sz="4" w:space="0" w:color="auto"/>
              <w:bottom w:val="single" w:sz="4" w:space="0" w:color="auto"/>
            </w:tcBorders>
          </w:tcPr>
          <w:p w14:paraId="02979E31" w14:textId="5CC1645A" w:rsidR="00617978" w:rsidRDefault="00617978" w:rsidP="00617978">
            <w:pPr>
              <w:jc w:val="both"/>
            </w:pPr>
            <w:r>
              <w:t>Skat. Plāna projekta 4. pielikumu.</w:t>
            </w:r>
          </w:p>
        </w:tc>
      </w:tr>
      <w:tr w:rsidR="00617978" w:rsidRPr="00712B66" w14:paraId="7CD68C85" w14:textId="77777777" w:rsidTr="7E8539FD">
        <w:tc>
          <w:tcPr>
            <w:tcW w:w="673" w:type="dxa"/>
            <w:tcBorders>
              <w:left w:val="single" w:sz="6" w:space="0" w:color="000000" w:themeColor="text1"/>
              <w:bottom w:val="single" w:sz="4" w:space="0" w:color="auto"/>
              <w:right w:val="single" w:sz="6" w:space="0" w:color="000000" w:themeColor="text1"/>
            </w:tcBorders>
          </w:tcPr>
          <w:p w14:paraId="256A2DE2" w14:textId="2BE07294" w:rsidR="00617978" w:rsidRDefault="00F76D07" w:rsidP="00617978">
            <w:pPr>
              <w:pStyle w:val="naisc"/>
              <w:spacing w:before="0" w:after="0"/>
            </w:pPr>
            <w:r>
              <w:t>24.</w:t>
            </w:r>
          </w:p>
        </w:tc>
        <w:tc>
          <w:tcPr>
            <w:tcW w:w="1835" w:type="dxa"/>
            <w:tcBorders>
              <w:left w:val="single" w:sz="6" w:space="0" w:color="000000" w:themeColor="text1"/>
              <w:bottom w:val="single" w:sz="4" w:space="0" w:color="auto"/>
              <w:right w:val="single" w:sz="6" w:space="0" w:color="000000" w:themeColor="text1"/>
            </w:tcBorders>
          </w:tcPr>
          <w:p w14:paraId="756F0D57" w14:textId="7ED31830" w:rsidR="00617978" w:rsidRDefault="00617978" w:rsidP="00617978">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0353DB2F" w14:textId="77777777" w:rsidR="00617978" w:rsidRDefault="00617978" w:rsidP="00617978">
            <w:pPr>
              <w:pStyle w:val="naisc"/>
              <w:spacing w:before="0" w:after="0"/>
              <w:rPr>
                <w:b/>
              </w:rPr>
            </w:pPr>
            <w:r>
              <w:rPr>
                <w:b/>
              </w:rPr>
              <w:t>Zemkopības ministrija</w:t>
            </w:r>
          </w:p>
          <w:p w14:paraId="430C435C" w14:textId="77777777" w:rsidR="00617978" w:rsidRDefault="00617978" w:rsidP="00617978">
            <w:pPr>
              <w:pStyle w:val="naisc"/>
              <w:spacing w:before="0" w:after="0"/>
            </w:pPr>
            <w:r>
              <w:t>(08.01.2021. iebildums)</w:t>
            </w:r>
          </w:p>
          <w:p w14:paraId="4880FD7C" w14:textId="77777777" w:rsidR="00617978" w:rsidRDefault="00617978" w:rsidP="00617978">
            <w:pPr>
              <w:pStyle w:val="naisc"/>
              <w:spacing w:before="0" w:after="0"/>
            </w:pPr>
          </w:p>
          <w:p w14:paraId="405FC56E" w14:textId="17895F75" w:rsidR="00617978" w:rsidRDefault="00617978" w:rsidP="00617978">
            <w:pPr>
              <w:pStyle w:val="naisc"/>
              <w:spacing w:before="0" w:after="0"/>
              <w:jc w:val="both"/>
              <w:rPr>
                <w:b/>
              </w:rPr>
            </w:pPr>
            <w:r>
              <w:rPr>
                <w:rFonts w:eastAsia="Calibri"/>
                <w:szCs w:val="22"/>
                <w:lang w:eastAsia="en-US"/>
              </w:rPr>
              <w:t>P</w:t>
            </w:r>
            <w:r w:rsidRPr="005506DE">
              <w:rPr>
                <w:rFonts w:eastAsia="Calibri"/>
                <w:szCs w:val="22"/>
                <w:lang w:eastAsia="en-US"/>
              </w:rPr>
              <w:t>ar pasākumu īstenošanas finansiālo pamatojumu, jo šim mērķim nav paredzēts piešķirt papildu līdzekļus, taču plānots atvēlēt piecus procentus no iestāžu esošā atlīdzības finansējuma. Nav tālredzīgi, pirms ir pabeigta viena reforma, t.i., valsts pārvaldes reformu plāna īstenošana, rosināt nākamo, tās finansējuma avotu (vai līdzekļu piesaistes mēru) saredzot jau pašlaik neapmierinošajā atlīdzības finansējumā laikā, kad valsts iestādēm sarūkošā darba tirgū ir jākonkurē par kvalificētākajiem speciālistiem, nu jau ilgstoši nespējot nodrošināt pietiekami konkurētspējīgu atalgojumu.</w:t>
            </w:r>
          </w:p>
        </w:tc>
        <w:tc>
          <w:tcPr>
            <w:tcW w:w="3427" w:type="dxa"/>
            <w:gridSpan w:val="2"/>
            <w:tcBorders>
              <w:left w:val="single" w:sz="6" w:space="0" w:color="000000" w:themeColor="text1"/>
              <w:bottom w:val="single" w:sz="4" w:space="0" w:color="auto"/>
              <w:right w:val="single" w:sz="6" w:space="0" w:color="000000" w:themeColor="text1"/>
            </w:tcBorders>
          </w:tcPr>
          <w:p w14:paraId="3525EC7F" w14:textId="52CE564C" w:rsidR="00617978" w:rsidRPr="00655475" w:rsidRDefault="00617978" w:rsidP="00617978">
            <w:pPr>
              <w:jc w:val="both"/>
              <w:rPr>
                <w:b/>
              </w:rPr>
            </w:pPr>
            <w:r w:rsidRPr="00655475">
              <w:rPr>
                <w:b/>
              </w:rPr>
              <w:t>Uzskatāms par saskaņotu elektroniskās sa</w:t>
            </w:r>
            <w:r w:rsidR="00655475" w:rsidRPr="00655475">
              <w:rPr>
                <w:b/>
              </w:rPr>
              <w:t>skaņošanas laikā</w:t>
            </w:r>
          </w:p>
        </w:tc>
        <w:tc>
          <w:tcPr>
            <w:tcW w:w="1934" w:type="dxa"/>
            <w:tcBorders>
              <w:top w:val="single" w:sz="4" w:space="0" w:color="auto"/>
              <w:left w:val="single" w:sz="4" w:space="0" w:color="auto"/>
              <w:bottom w:val="single" w:sz="4" w:space="0" w:color="auto"/>
            </w:tcBorders>
          </w:tcPr>
          <w:p w14:paraId="0AEE8E52" w14:textId="0BA86CA1" w:rsidR="00617978" w:rsidRDefault="00617978" w:rsidP="00617978">
            <w:pPr>
              <w:jc w:val="both"/>
            </w:pPr>
            <w:r>
              <w:t>Skat. Plāna projekta 3. pielikumu.</w:t>
            </w:r>
          </w:p>
        </w:tc>
      </w:tr>
      <w:tr w:rsidR="00617978" w:rsidRPr="00712B66" w14:paraId="1AC39362" w14:textId="77777777" w:rsidTr="7E8539FD">
        <w:tc>
          <w:tcPr>
            <w:tcW w:w="673" w:type="dxa"/>
            <w:tcBorders>
              <w:left w:val="single" w:sz="6" w:space="0" w:color="000000" w:themeColor="text1"/>
              <w:bottom w:val="single" w:sz="4" w:space="0" w:color="auto"/>
              <w:right w:val="single" w:sz="6" w:space="0" w:color="000000" w:themeColor="text1"/>
            </w:tcBorders>
          </w:tcPr>
          <w:p w14:paraId="08B8EB7F" w14:textId="5D03933B" w:rsidR="00617978" w:rsidRDefault="00F76D07" w:rsidP="00617978">
            <w:pPr>
              <w:pStyle w:val="naisc"/>
              <w:spacing w:before="0" w:after="0"/>
            </w:pPr>
            <w:r>
              <w:t>25</w:t>
            </w:r>
            <w:r w:rsidR="00617978">
              <w:t>.</w:t>
            </w:r>
          </w:p>
        </w:tc>
        <w:tc>
          <w:tcPr>
            <w:tcW w:w="1835" w:type="dxa"/>
            <w:tcBorders>
              <w:left w:val="single" w:sz="6" w:space="0" w:color="000000" w:themeColor="text1"/>
              <w:bottom w:val="single" w:sz="4" w:space="0" w:color="auto"/>
              <w:right w:val="single" w:sz="6" w:space="0" w:color="000000" w:themeColor="text1"/>
            </w:tcBorders>
          </w:tcPr>
          <w:p w14:paraId="392F18F7" w14:textId="77777777" w:rsidR="00617978" w:rsidRDefault="00617978" w:rsidP="00617978">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5EDD8D8D" w14:textId="77777777" w:rsidR="00617978" w:rsidRDefault="00617978" w:rsidP="00617978">
            <w:pPr>
              <w:pStyle w:val="naisc"/>
              <w:spacing w:before="0" w:after="0"/>
              <w:rPr>
                <w:b/>
              </w:rPr>
            </w:pPr>
            <w:r>
              <w:rPr>
                <w:b/>
              </w:rPr>
              <w:t>Labklājības ministrija</w:t>
            </w:r>
          </w:p>
          <w:p w14:paraId="748C418C" w14:textId="77777777" w:rsidR="00617978" w:rsidRDefault="00617978" w:rsidP="00617978">
            <w:pPr>
              <w:pStyle w:val="naisc"/>
              <w:spacing w:before="0" w:after="0"/>
            </w:pPr>
            <w:r>
              <w:t>(08.01.2021. iebildums)</w:t>
            </w:r>
          </w:p>
          <w:p w14:paraId="43BB8435" w14:textId="77777777" w:rsidR="00617978" w:rsidRDefault="00617978" w:rsidP="00617978">
            <w:pPr>
              <w:pStyle w:val="naisc"/>
              <w:spacing w:before="0" w:after="0"/>
            </w:pPr>
          </w:p>
          <w:p w14:paraId="0BCBB1E9" w14:textId="77777777" w:rsidR="00617978" w:rsidRPr="005506DE" w:rsidRDefault="00617978" w:rsidP="00617978">
            <w:pPr>
              <w:pStyle w:val="naisc"/>
              <w:spacing w:before="0" w:after="0"/>
              <w:jc w:val="both"/>
            </w:pPr>
            <w:r w:rsidRPr="005506DE">
              <w:t>Ņemot vērā Labklājības ministrijas resora esošo atlīdzības budžeta apmēru, struktūru un mērķi 2021.-2017. g. periodā panākt sociālās aizsardzības un darba tirgus pakalpojumus administrējošo institūciju nodarbināto atalgojumu vismaz vidēji 90 % no skalas, plāna projekta 2. pielikumā norādītais finansējuma īpatsvars atlīdzības budžetā nodarbināto attīstībai – 5 % - vērtējams kā nesamērīgi augsts. Labklājības ministrijas resoram 5 % nozīmē gandrīz 3 milj. euro. Nodarbināto attīstībai varētu novirzīt līdz 1 %, kas arī veidotu būtisku pieaugumu salīdzinājumā ar līdzšinējo mācību budžeta īpatsvaru.</w:t>
            </w:r>
          </w:p>
        </w:tc>
        <w:tc>
          <w:tcPr>
            <w:tcW w:w="3427" w:type="dxa"/>
            <w:gridSpan w:val="2"/>
            <w:tcBorders>
              <w:left w:val="single" w:sz="6" w:space="0" w:color="000000" w:themeColor="text1"/>
              <w:bottom w:val="single" w:sz="4" w:space="0" w:color="auto"/>
              <w:right w:val="single" w:sz="6" w:space="0" w:color="000000" w:themeColor="text1"/>
            </w:tcBorders>
          </w:tcPr>
          <w:p w14:paraId="1E359A99" w14:textId="0C9D421F" w:rsidR="00617978" w:rsidRDefault="00617978" w:rsidP="00617978">
            <w:pPr>
              <w:pStyle w:val="naisc"/>
              <w:spacing w:before="0" w:after="0"/>
              <w:jc w:val="both"/>
              <w:rPr>
                <w:b/>
                <w:bCs/>
              </w:rPr>
            </w:pPr>
            <w:r>
              <w:rPr>
                <w:b/>
                <w:bCs/>
              </w:rPr>
              <w:t>Ņ</w:t>
            </w:r>
            <w:r w:rsidRPr="00891297">
              <w:rPr>
                <w:b/>
                <w:bCs/>
              </w:rPr>
              <w:t>emts vērā</w:t>
            </w:r>
          </w:p>
          <w:p w14:paraId="09789A68" w14:textId="77777777" w:rsidR="00617978" w:rsidRDefault="00617978" w:rsidP="00617978">
            <w:pPr>
              <w:pStyle w:val="naisc"/>
              <w:spacing w:before="0" w:after="0"/>
              <w:jc w:val="both"/>
              <w:rPr>
                <w:b/>
                <w:bCs/>
              </w:rPr>
            </w:pPr>
          </w:p>
          <w:p w14:paraId="2074E427" w14:textId="2BD9F131" w:rsidR="00617978" w:rsidRPr="00712B66" w:rsidRDefault="00617978" w:rsidP="00617978">
            <w:pPr>
              <w:pStyle w:val="naisc"/>
              <w:spacing w:before="0" w:after="0"/>
              <w:jc w:val="both"/>
            </w:pPr>
          </w:p>
        </w:tc>
        <w:tc>
          <w:tcPr>
            <w:tcW w:w="1934" w:type="dxa"/>
            <w:tcBorders>
              <w:top w:val="single" w:sz="4" w:space="0" w:color="auto"/>
              <w:left w:val="single" w:sz="4" w:space="0" w:color="auto"/>
              <w:bottom w:val="single" w:sz="4" w:space="0" w:color="auto"/>
            </w:tcBorders>
          </w:tcPr>
          <w:p w14:paraId="3F6181F6" w14:textId="31F13294" w:rsidR="00617978" w:rsidRPr="00712B66" w:rsidRDefault="00617978" w:rsidP="00617978">
            <w:pPr>
              <w:jc w:val="both"/>
            </w:pPr>
            <w:r>
              <w:t>Skat. Plāna projekta 3. pielikumu.</w:t>
            </w:r>
          </w:p>
        </w:tc>
      </w:tr>
      <w:tr w:rsidR="003D4D50" w:rsidRPr="00712B66" w14:paraId="62222BFA" w14:textId="77777777" w:rsidTr="7E8539FD">
        <w:tc>
          <w:tcPr>
            <w:tcW w:w="673" w:type="dxa"/>
            <w:tcBorders>
              <w:left w:val="single" w:sz="6" w:space="0" w:color="000000" w:themeColor="text1"/>
              <w:bottom w:val="single" w:sz="4" w:space="0" w:color="auto"/>
              <w:right w:val="single" w:sz="6" w:space="0" w:color="000000" w:themeColor="text1"/>
            </w:tcBorders>
          </w:tcPr>
          <w:p w14:paraId="7D030053" w14:textId="6D3436C4" w:rsidR="003D4D50" w:rsidRDefault="00F76D07" w:rsidP="003D4D50">
            <w:pPr>
              <w:pStyle w:val="naisc"/>
              <w:spacing w:before="0" w:after="0"/>
            </w:pPr>
            <w:r>
              <w:lastRenderedPageBreak/>
              <w:t>26.</w:t>
            </w:r>
          </w:p>
        </w:tc>
        <w:tc>
          <w:tcPr>
            <w:tcW w:w="1835" w:type="dxa"/>
            <w:tcBorders>
              <w:left w:val="single" w:sz="6" w:space="0" w:color="000000" w:themeColor="text1"/>
              <w:bottom w:val="single" w:sz="4" w:space="0" w:color="auto"/>
              <w:right w:val="single" w:sz="6" w:space="0" w:color="000000" w:themeColor="text1"/>
            </w:tcBorders>
          </w:tcPr>
          <w:p w14:paraId="77307E23" w14:textId="1B4F33FC" w:rsidR="003D4D50" w:rsidRDefault="003D4D50" w:rsidP="003D4D50">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488A15DA" w14:textId="77777777" w:rsidR="003D4D50" w:rsidRDefault="003D4D50" w:rsidP="003D4D50">
            <w:pPr>
              <w:pStyle w:val="naisc"/>
              <w:spacing w:before="0" w:after="0"/>
              <w:rPr>
                <w:b/>
              </w:rPr>
            </w:pPr>
            <w:r>
              <w:rPr>
                <w:b/>
              </w:rPr>
              <w:t>Labklājības ministrija</w:t>
            </w:r>
          </w:p>
          <w:p w14:paraId="747514B9" w14:textId="77777777" w:rsidR="003D4D50" w:rsidRDefault="003D4D50" w:rsidP="003D4D50">
            <w:pPr>
              <w:pStyle w:val="naisc"/>
              <w:spacing w:before="0" w:after="0"/>
            </w:pPr>
            <w:r>
              <w:t>(08.01.2021. iebildums)</w:t>
            </w:r>
          </w:p>
          <w:p w14:paraId="4AA8F6D1" w14:textId="77777777" w:rsidR="003D4D50" w:rsidRPr="005506DE" w:rsidRDefault="003D4D50" w:rsidP="003D4D50">
            <w:pPr>
              <w:widowControl w:val="0"/>
              <w:jc w:val="both"/>
            </w:pPr>
          </w:p>
          <w:p w14:paraId="1A640D03" w14:textId="4F118245" w:rsidR="003D4D50" w:rsidRDefault="003D4D50" w:rsidP="003D4D50">
            <w:pPr>
              <w:pStyle w:val="naisc"/>
              <w:spacing w:before="0" w:after="0"/>
              <w:jc w:val="both"/>
              <w:rPr>
                <w:b/>
              </w:rPr>
            </w:pPr>
            <w:r w:rsidRPr="005506DE">
              <w:t>Stratēģijas prioritāšu mērķu nr. 3.1.5. (26. lpp.) un 3.5.3. (38. lpp.) fokuss vērsts tikai uz Kohēzijas politikas un līdz ar to uz ES fondu ieviešanas efektivitātes paaugstināšanu, tostarp iepirkumu veiktspējas uzlabošanu. Tomēr šo mērķu fokuss ir paplašināms uz jebkura publiskā finanšu avota atbalstītas politikas ieviešanu.</w:t>
            </w:r>
          </w:p>
        </w:tc>
        <w:tc>
          <w:tcPr>
            <w:tcW w:w="3427" w:type="dxa"/>
            <w:gridSpan w:val="2"/>
            <w:tcBorders>
              <w:left w:val="single" w:sz="6" w:space="0" w:color="000000" w:themeColor="text1"/>
              <w:bottom w:val="single" w:sz="4" w:space="0" w:color="auto"/>
              <w:right w:val="single" w:sz="6" w:space="0" w:color="000000" w:themeColor="text1"/>
            </w:tcBorders>
          </w:tcPr>
          <w:p w14:paraId="10D61463" w14:textId="5EED38B7" w:rsidR="003D4D50" w:rsidRPr="00655475" w:rsidRDefault="003D4D50" w:rsidP="003D4D50">
            <w:pPr>
              <w:jc w:val="both"/>
              <w:rPr>
                <w:b/>
              </w:rPr>
            </w:pPr>
            <w:r w:rsidRPr="00655475">
              <w:rPr>
                <w:b/>
              </w:rPr>
              <w:t>Uzskatāms par saskaņotu e</w:t>
            </w:r>
            <w:r w:rsidR="00655475" w:rsidRPr="00655475">
              <w:rPr>
                <w:b/>
              </w:rPr>
              <w:t>lektroniskās saskaņošanas laikā</w:t>
            </w:r>
          </w:p>
          <w:p w14:paraId="0B53EF27" w14:textId="662F5398" w:rsidR="003D4D50" w:rsidRDefault="003D4D50" w:rsidP="003D4D50">
            <w:pPr>
              <w:pStyle w:val="naisc"/>
              <w:spacing w:before="0" w:after="0"/>
              <w:jc w:val="both"/>
              <w:rPr>
                <w:b/>
                <w:bCs/>
              </w:rPr>
            </w:pPr>
          </w:p>
        </w:tc>
        <w:tc>
          <w:tcPr>
            <w:tcW w:w="1934" w:type="dxa"/>
            <w:tcBorders>
              <w:top w:val="single" w:sz="4" w:space="0" w:color="auto"/>
              <w:left w:val="single" w:sz="4" w:space="0" w:color="auto"/>
              <w:bottom w:val="single" w:sz="4" w:space="0" w:color="auto"/>
            </w:tcBorders>
          </w:tcPr>
          <w:p w14:paraId="2E0A7473" w14:textId="62AD7B58" w:rsidR="003D4D50" w:rsidRDefault="003D4D50" w:rsidP="003D4D50">
            <w:pPr>
              <w:jc w:val="both"/>
            </w:pPr>
            <w:r>
              <w:t>Skat. Plāna projekta 2. pielikumu.</w:t>
            </w:r>
          </w:p>
        </w:tc>
      </w:tr>
      <w:tr w:rsidR="003D4D50" w:rsidRPr="00712B66" w14:paraId="1370B172" w14:textId="77777777" w:rsidTr="7E8539FD">
        <w:tc>
          <w:tcPr>
            <w:tcW w:w="673" w:type="dxa"/>
            <w:tcBorders>
              <w:left w:val="single" w:sz="6" w:space="0" w:color="000000" w:themeColor="text1"/>
              <w:bottom w:val="single" w:sz="4" w:space="0" w:color="auto"/>
              <w:right w:val="single" w:sz="6" w:space="0" w:color="000000" w:themeColor="text1"/>
            </w:tcBorders>
          </w:tcPr>
          <w:p w14:paraId="66506C90" w14:textId="0725F278" w:rsidR="003D4D50" w:rsidRDefault="00F76D07" w:rsidP="003D4D50">
            <w:pPr>
              <w:pStyle w:val="naisc"/>
              <w:spacing w:before="0" w:after="0"/>
            </w:pPr>
            <w:r>
              <w:t>27.</w:t>
            </w:r>
          </w:p>
        </w:tc>
        <w:tc>
          <w:tcPr>
            <w:tcW w:w="1835" w:type="dxa"/>
            <w:tcBorders>
              <w:left w:val="single" w:sz="6" w:space="0" w:color="000000" w:themeColor="text1"/>
              <w:bottom w:val="single" w:sz="4" w:space="0" w:color="auto"/>
              <w:right w:val="single" w:sz="6" w:space="0" w:color="000000" w:themeColor="text1"/>
            </w:tcBorders>
          </w:tcPr>
          <w:p w14:paraId="3661B95D" w14:textId="7F50B6B3" w:rsidR="003D4D50" w:rsidRDefault="003D4D50" w:rsidP="003D4D50">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567DFD24" w14:textId="77777777" w:rsidR="003D4D50" w:rsidRDefault="003D4D50" w:rsidP="003D4D50">
            <w:pPr>
              <w:pStyle w:val="naisc"/>
              <w:spacing w:before="0" w:after="0"/>
              <w:rPr>
                <w:b/>
              </w:rPr>
            </w:pPr>
            <w:r>
              <w:rPr>
                <w:b/>
              </w:rPr>
              <w:t>Labklājības ministrija</w:t>
            </w:r>
          </w:p>
          <w:p w14:paraId="3A6541B1" w14:textId="77777777" w:rsidR="003D4D50" w:rsidRDefault="003D4D50" w:rsidP="003D4D50">
            <w:pPr>
              <w:pStyle w:val="naisc"/>
              <w:spacing w:before="0" w:after="0"/>
            </w:pPr>
            <w:r>
              <w:t>(08.01.2021. iebildums)</w:t>
            </w:r>
          </w:p>
          <w:p w14:paraId="5996078E" w14:textId="77777777" w:rsidR="003D4D50" w:rsidRDefault="003D4D50" w:rsidP="003D4D50">
            <w:pPr>
              <w:pStyle w:val="naisc"/>
              <w:spacing w:before="0" w:after="0"/>
              <w:rPr>
                <w:b/>
              </w:rPr>
            </w:pPr>
          </w:p>
          <w:p w14:paraId="5E10F196" w14:textId="6BACADC5" w:rsidR="003D4D50" w:rsidRDefault="003D4D50" w:rsidP="003D4D50">
            <w:pPr>
              <w:pStyle w:val="naisc"/>
              <w:spacing w:before="0" w:after="0"/>
              <w:jc w:val="both"/>
              <w:rPr>
                <w:b/>
              </w:rPr>
            </w:pPr>
            <w:r w:rsidRPr="005506DE">
              <w:t>Stratēģijas prioritāšu mērķa nr. 3.5.4. īstenošanā iesaistīto pušu uzskaitījumā nav korekta norāde uz Nodarbinātības valsts aģentūru (NVA), jo NVA profesionālās pilnveides atbalsta mērķa grupa ir bezdarbnieki un darba meklētāji, nevis publiskajā pārvaldē nodarbinātie. Attiecīgi NVA būtu svītrojams no iesaistīto iestāžu uzskaitījuma.</w:t>
            </w:r>
          </w:p>
        </w:tc>
        <w:tc>
          <w:tcPr>
            <w:tcW w:w="3427" w:type="dxa"/>
            <w:gridSpan w:val="2"/>
            <w:tcBorders>
              <w:left w:val="single" w:sz="6" w:space="0" w:color="000000" w:themeColor="text1"/>
              <w:bottom w:val="single" w:sz="4" w:space="0" w:color="auto"/>
              <w:right w:val="single" w:sz="6" w:space="0" w:color="000000" w:themeColor="text1"/>
            </w:tcBorders>
          </w:tcPr>
          <w:p w14:paraId="4B10E84D" w14:textId="1309E784" w:rsidR="003D4D50" w:rsidRPr="00655475" w:rsidRDefault="003D4D50" w:rsidP="00655475">
            <w:pPr>
              <w:jc w:val="both"/>
              <w:rPr>
                <w:b/>
              </w:rPr>
            </w:pPr>
            <w:r w:rsidRPr="00655475">
              <w:rPr>
                <w:b/>
              </w:rPr>
              <w:t>Uzskatāms par saskaņotu elektroniskās saskaņošanas</w:t>
            </w:r>
            <w:r w:rsidR="00655475" w:rsidRPr="00655475">
              <w:rPr>
                <w:b/>
              </w:rPr>
              <w:t xml:space="preserve"> laikā</w:t>
            </w:r>
          </w:p>
        </w:tc>
        <w:tc>
          <w:tcPr>
            <w:tcW w:w="1934" w:type="dxa"/>
            <w:tcBorders>
              <w:top w:val="single" w:sz="4" w:space="0" w:color="auto"/>
              <w:left w:val="single" w:sz="4" w:space="0" w:color="auto"/>
              <w:bottom w:val="single" w:sz="4" w:space="0" w:color="auto"/>
            </w:tcBorders>
          </w:tcPr>
          <w:p w14:paraId="62AC9F86" w14:textId="3461D821" w:rsidR="003D4D50" w:rsidRDefault="003D4D50" w:rsidP="003D4D50">
            <w:pPr>
              <w:jc w:val="both"/>
            </w:pPr>
            <w:r>
              <w:t>Skat. Plāna projekta 2. pielikumu.</w:t>
            </w:r>
          </w:p>
        </w:tc>
      </w:tr>
      <w:tr w:rsidR="003D4D50" w:rsidRPr="00712B66" w14:paraId="0D052CE9" w14:textId="77777777" w:rsidTr="7E8539FD">
        <w:tc>
          <w:tcPr>
            <w:tcW w:w="673" w:type="dxa"/>
            <w:tcBorders>
              <w:left w:val="single" w:sz="6" w:space="0" w:color="000000" w:themeColor="text1"/>
              <w:bottom w:val="single" w:sz="4" w:space="0" w:color="auto"/>
              <w:right w:val="single" w:sz="6" w:space="0" w:color="000000" w:themeColor="text1"/>
            </w:tcBorders>
          </w:tcPr>
          <w:p w14:paraId="5D14AE14" w14:textId="55D3A369" w:rsidR="003D4D50" w:rsidRDefault="00F76D07" w:rsidP="003D4D50">
            <w:pPr>
              <w:pStyle w:val="naisc"/>
              <w:spacing w:before="0" w:after="0"/>
            </w:pPr>
            <w:r>
              <w:t>28.</w:t>
            </w:r>
          </w:p>
        </w:tc>
        <w:tc>
          <w:tcPr>
            <w:tcW w:w="1835" w:type="dxa"/>
            <w:tcBorders>
              <w:left w:val="single" w:sz="6" w:space="0" w:color="000000" w:themeColor="text1"/>
              <w:bottom w:val="single" w:sz="4" w:space="0" w:color="auto"/>
              <w:right w:val="single" w:sz="6" w:space="0" w:color="000000" w:themeColor="text1"/>
            </w:tcBorders>
          </w:tcPr>
          <w:p w14:paraId="7D671B64" w14:textId="751C1353" w:rsidR="003D4D50" w:rsidRDefault="003D4D50" w:rsidP="003D4D50">
            <w:pPr>
              <w:pStyle w:val="naisc"/>
              <w:spacing w:before="0" w:after="0"/>
              <w:jc w:val="both"/>
            </w:pPr>
            <w:r>
              <w:t>Skat. Plāna projekta 4. pielikumu.</w:t>
            </w:r>
          </w:p>
        </w:tc>
        <w:tc>
          <w:tcPr>
            <w:tcW w:w="7123" w:type="dxa"/>
            <w:gridSpan w:val="2"/>
            <w:tcBorders>
              <w:left w:val="single" w:sz="6" w:space="0" w:color="000000" w:themeColor="text1"/>
              <w:bottom w:val="single" w:sz="4" w:space="0" w:color="auto"/>
              <w:right w:val="single" w:sz="6" w:space="0" w:color="000000" w:themeColor="text1"/>
            </w:tcBorders>
          </w:tcPr>
          <w:p w14:paraId="511E563B" w14:textId="77777777" w:rsidR="003D4D50" w:rsidRDefault="003D4D50" w:rsidP="003D4D50">
            <w:pPr>
              <w:pStyle w:val="naisc"/>
              <w:spacing w:before="0" w:after="0"/>
              <w:rPr>
                <w:b/>
              </w:rPr>
            </w:pPr>
            <w:r>
              <w:rPr>
                <w:b/>
              </w:rPr>
              <w:t>Labklājības ministrija</w:t>
            </w:r>
          </w:p>
          <w:p w14:paraId="13DEF1AC" w14:textId="77777777" w:rsidR="003D4D50" w:rsidRDefault="003D4D50" w:rsidP="003D4D50">
            <w:pPr>
              <w:pStyle w:val="naisc"/>
              <w:spacing w:before="0" w:after="0"/>
            </w:pPr>
            <w:r>
              <w:t>(08.01.2021. iebildums)</w:t>
            </w:r>
          </w:p>
          <w:p w14:paraId="6AEA1DF6" w14:textId="77777777" w:rsidR="003D4D50" w:rsidRDefault="003D4D50" w:rsidP="003D4D50">
            <w:pPr>
              <w:pStyle w:val="naisc"/>
              <w:spacing w:before="0" w:after="0"/>
            </w:pPr>
          </w:p>
          <w:p w14:paraId="7792BB45" w14:textId="328C5556" w:rsidR="003D4D50" w:rsidRDefault="003D4D50" w:rsidP="003D4D50">
            <w:pPr>
              <w:pStyle w:val="naisc"/>
              <w:spacing w:before="0" w:after="0"/>
              <w:jc w:val="both"/>
              <w:rPr>
                <w:b/>
              </w:rPr>
            </w:pPr>
            <w:r w:rsidRPr="005506DE">
              <w:t>Projekta plāna 4. pielikuma redakcija būtu jāprecizē, norādot katras aktivitātes izmaksas, pārskatot finansēšanas avotus vai iesaistītās puses. Kohēzijas politikas finanšu instrumentu programmēšana ir aktīvā izstrādes stadijā un nav pārliecības, ka 1.1., 1.2., 3.3., 3.4., 4.2., 4.3. mērķu īstenošanai visām iestādēm ir ieplānots un būs pieejams ES fondu un RRF finansējums. Arī ES fondu tehniskās palīdzības pieejamības nosacījumi vēl nav zināmi (RRF nav plānoti tehniskās palīdzības resursi), līdz ar to ir apšaubāms 1.5., 1.6. un 5.3. mērķu īstenošanas finansēšanas avots.</w:t>
            </w:r>
          </w:p>
        </w:tc>
        <w:tc>
          <w:tcPr>
            <w:tcW w:w="3427" w:type="dxa"/>
            <w:gridSpan w:val="2"/>
            <w:tcBorders>
              <w:left w:val="single" w:sz="6" w:space="0" w:color="000000" w:themeColor="text1"/>
              <w:bottom w:val="single" w:sz="4" w:space="0" w:color="auto"/>
              <w:right w:val="single" w:sz="6" w:space="0" w:color="000000" w:themeColor="text1"/>
            </w:tcBorders>
          </w:tcPr>
          <w:p w14:paraId="18D11B4F" w14:textId="0D7FC340" w:rsidR="003D4D50" w:rsidRPr="00655475" w:rsidRDefault="003D4D50" w:rsidP="00655475">
            <w:pPr>
              <w:jc w:val="both"/>
              <w:rPr>
                <w:b/>
                <w:bCs/>
              </w:rPr>
            </w:pPr>
            <w:r w:rsidRPr="00655475">
              <w:rPr>
                <w:b/>
              </w:rPr>
              <w:t>Uzskatāms par saskaņotu elektroniskās saskaņošanas laikā</w:t>
            </w:r>
          </w:p>
          <w:p w14:paraId="29115608" w14:textId="77777777" w:rsidR="003D4D50" w:rsidRDefault="003D4D50" w:rsidP="003D4D50">
            <w:pPr>
              <w:pStyle w:val="naisc"/>
              <w:spacing w:before="0" w:after="0"/>
              <w:jc w:val="both"/>
              <w:rPr>
                <w:b/>
                <w:bCs/>
              </w:rPr>
            </w:pPr>
          </w:p>
          <w:p w14:paraId="53272E4A" w14:textId="32A20AA9" w:rsidR="003D4D50" w:rsidRDefault="003D4D50" w:rsidP="003D4D50">
            <w:pPr>
              <w:pStyle w:val="naisc"/>
              <w:spacing w:before="0" w:after="0"/>
              <w:jc w:val="both"/>
              <w:rPr>
                <w:b/>
                <w:bCs/>
              </w:rPr>
            </w:pPr>
          </w:p>
        </w:tc>
        <w:tc>
          <w:tcPr>
            <w:tcW w:w="1934" w:type="dxa"/>
            <w:tcBorders>
              <w:top w:val="single" w:sz="4" w:space="0" w:color="auto"/>
              <w:left w:val="single" w:sz="4" w:space="0" w:color="auto"/>
              <w:bottom w:val="single" w:sz="4" w:space="0" w:color="auto"/>
            </w:tcBorders>
          </w:tcPr>
          <w:p w14:paraId="2127C033" w14:textId="28AD38D1" w:rsidR="003D4D50" w:rsidRDefault="003D4D50" w:rsidP="003D4D50">
            <w:pPr>
              <w:jc w:val="both"/>
            </w:pPr>
            <w:r>
              <w:t>Skat. Plāna projekta 2. un 5.pielikumus.</w:t>
            </w:r>
          </w:p>
        </w:tc>
      </w:tr>
      <w:tr w:rsidR="003D4D50" w:rsidRPr="00712B66" w14:paraId="061B6B4C" w14:textId="77777777" w:rsidTr="7E8539FD">
        <w:tc>
          <w:tcPr>
            <w:tcW w:w="673" w:type="dxa"/>
            <w:tcBorders>
              <w:left w:val="single" w:sz="6" w:space="0" w:color="000000" w:themeColor="text1"/>
              <w:bottom w:val="single" w:sz="4" w:space="0" w:color="auto"/>
              <w:right w:val="single" w:sz="6" w:space="0" w:color="000000" w:themeColor="text1"/>
            </w:tcBorders>
          </w:tcPr>
          <w:p w14:paraId="6B3EE532" w14:textId="3330C75D" w:rsidR="003D4D50" w:rsidRDefault="00F76D07" w:rsidP="003D4D50">
            <w:pPr>
              <w:pStyle w:val="naisc"/>
              <w:spacing w:before="0" w:after="0"/>
            </w:pPr>
            <w:r>
              <w:t>29.</w:t>
            </w:r>
          </w:p>
        </w:tc>
        <w:tc>
          <w:tcPr>
            <w:tcW w:w="1835" w:type="dxa"/>
            <w:tcBorders>
              <w:left w:val="single" w:sz="6" w:space="0" w:color="000000" w:themeColor="text1"/>
              <w:bottom w:val="single" w:sz="4" w:space="0" w:color="auto"/>
              <w:right w:val="single" w:sz="6" w:space="0" w:color="000000" w:themeColor="text1"/>
            </w:tcBorders>
          </w:tcPr>
          <w:p w14:paraId="66EBA420" w14:textId="08A9BCEE" w:rsidR="003D4D50" w:rsidRDefault="003D4D50" w:rsidP="003D4D50">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72C1B5C6" w14:textId="77777777" w:rsidR="003D4D50" w:rsidRDefault="003D4D50" w:rsidP="003D4D50">
            <w:pPr>
              <w:pStyle w:val="naisc"/>
              <w:spacing w:before="0" w:after="0"/>
              <w:rPr>
                <w:b/>
              </w:rPr>
            </w:pPr>
            <w:r>
              <w:rPr>
                <w:b/>
              </w:rPr>
              <w:t>Labklājības ministrija</w:t>
            </w:r>
          </w:p>
          <w:p w14:paraId="0C67596E" w14:textId="77777777" w:rsidR="003D4D50" w:rsidRDefault="003D4D50" w:rsidP="003D4D50">
            <w:pPr>
              <w:pStyle w:val="naisc"/>
              <w:spacing w:before="0" w:after="0"/>
            </w:pPr>
            <w:r>
              <w:t>(08.01.2021. iebildums)</w:t>
            </w:r>
          </w:p>
          <w:p w14:paraId="73DE8509" w14:textId="77777777" w:rsidR="003D4D50" w:rsidRPr="005506DE" w:rsidRDefault="003D4D50" w:rsidP="003D4D50">
            <w:pPr>
              <w:widowControl w:val="0"/>
              <w:jc w:val="both"/>
            </w:pPr>
          </w:p>
          <w:p w14:paraId="79044E4A" w14:textId="3AA28D53" w:rsidR="003D4D50" w:rsidRDefault="003D4D50" w:rsidP="003D4D50">
            <w:pPr>
              <w:pStyle w:val="naisc"/>
              <w:spacing w:before="0" w:after="0"/>
              <w:jc w:val="both"/>
              <w:rPr>
                <w:b/>
              </w:rPr>
            </w:pPr>
            <w:r w:rsidRPr="005506DE">
              <w:t xml:space="preserve">Stratēģijas prioritāšu mērķu nr. 3.1.5. (26. lpp.) un 3.5.3. (38. lpp.) fokuss vērsts tikai uz Kohēzijas politikas un līdz ar to uz ES fondu </w:t>
            </w:r>
            <w:r w:rsidRPr="005506DE">
              <w:lastRenderedPageBreak/>
              <w:t>ieviešanas efektivitātes paaugstināšanu, tostarp iepirkumu veiktspējas uzlabošanu. Tomēr šo mērķu fokuss ir paplašināms uz jebkura publiskā finanšu avota atbalstītas politikas ieviešanu.</w:t>
            </w:r>
          </w:p>
        </w:tc>
        <w:tc>
          <w:tcPr>
            <w:tcW w:w="3427" w:type="dxa"/>
            <w:gridSpan w:val="2"/>
            <w:tcBorders>
              <w:left w:val="single" w:sz="6" w:space="0" w:color="000000" w:themeColor="text1"/>
              <w:bottom w:val="single" w:sz="4" w:space="0" w:color="auto"/>
              <w:right w:val="single" w:sz="6" w:space="0" w:color="000000" w:themeColor="text1"/>
            </w:tcBorders>
          </w:tcPr>
          <w:p w14:paraId="353C77F3" w14:textId="5A24035E" w:rsidR="003D4D50" w:rsidRPr="00655475" w:rsidRDefault="003D4D50" w:rsidP="00655475">
            <w:pPr>
              <w:jc w:val="both"/>
              <w:rPr>
                <w:b/>
              </w:rPr>
            </w:pPr>
            <w:r w:rsidRPr="00655475">
              <w:rPr>
                <w:b/>
              </w:rPr>
              <w:lastRenderedPageBreak/>
              <w:t>Uzskatāms par saskaņotu e</w:t>
            </w:r>
            <w:r w:rsidR="00655475" w:rsidRPr="00655475">
              <w:rPr>
                <w:b/>
              </w:rPr>
              <w:t>lektroniskās saskaņošanas laikā</w:t>
            </w:r>
          </w:p>
        </w:tc>
        <w:tc>
          <w:tcPr>
            <w:tcW w:w="1934" w:type="dxa"/>
            <w:tcBorders>
              <w:top w:val="single" w:sz="4" w:space="0" w:color="auto"/>
              <w:left w:val="single" w:sz="4" w:space="0" w:color="auto"/>
              <w:bottom w:val="single" w:sz="4" w:space="0" w:color="auto"/>
            </w:tcBorders>
          </w:tcPr>
          <w:p w14:paraId="6BD283E9" w14:textId="186960B3" w:rsidR="003D4D50" w:rsidRDefault="003D4D50" w:rsidP="003D4D50">
            <w:pPr>
              <w:jc w:val="both"/>
            </w:pPr>
            <w:r>
              <w:t>Skat. Plāna projekta 2. pielikumu.</w:t>
            </w:r>
          </w:p>
        </w:tc>
      </w:tr>
      <w:tr w:rsidR="003D4D50" w:rsidRPr="00712B66" w14:paraId="66C5E849" w14:textId="77777777" w:rsidTr="7E8539FD">
        <w:tc>
          <w:tcPr>
            <w:tcW w:w="673" w:type="dxa"/>
            <w:tcBorders>
              <w:left w:val="single" w:sz="6" w:space="0" w:color="000000" w:themeColor="text1"/>
              <w:bottom w:val="single" w:sz="4" w:space="0" w:color="auto"/>
              <w:right w:val="single" w:sz="6" w:space="0" w:color="000000" w:themeColor="text1"/>
            </w:tcBorders>
          </w:tcPr>
          <w:p w14:paraId="250086FD" w14:textId="1BDE84F0" w:rsidR="003D4D50" w:rsidRDefault="00F76D07" w:rsidP="003D4D50">
            <w:pPr>
              <w:pStyle w:val="naisc"/>
              <w:spacing w:before="0" w:after="0"/>
            </w:pPr>
            <w:r>
              <w:t>30</w:t>
            </w:r>
            <w:r w:rsidR="003D4D50">
              <w:t>.</w:t>
            </w:r>
          </w:p>
        </w:tc>
        <w:tc>
          <w:tcPr>
            <w:tcW w:w="1835" w:type="dxa"/>
            <w:tcBorders>
              <w:left w:val="single" w:sz="6" w:space="0" w:color="000000" w:themeColor="text1"/>
              <w:bottom w:val="single" w:sz="4" w:space="0" w:color="auto"/>
              <w:right w:val="single" w:sz="6" w:space="0" w:color="000000" w:themeColor="text1"/>
            </w:tcBorders>
          </w:tcPr>
          <w:p w14:paraId="2047635D" w14:textId="3A4B6838" w:rsidR="003D4D50" w:rsidRDefault="003D4D50" w:rsidP="003D4D50">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6DBBBD40" w14:textId="77777777" w:rsidR="003D4D50" w:rsidRDefault="003D4D50" w:rsidP="003D4D50">
            <w:pPr>
              <w:pStyle w:val="naisc"/>
              <w:spacing w:before="0" w:after="0"/>
              <w:rPr>
                <w:b/>
              </w:rPr>
            </w:pPr>
            <w:r>
              <w:rPr>
                <w:b/>
              </w:rPr>
              <w:t>Vides aizsardzības un reģionālās attīstības ministrija</w:t>
            </w:r>
          </w:p>
          <w:p w14:paraId="5658319E" w14:textId="77777777" w:rsidR="003D4D50" w:rsidRDefault="003D4D50" w:rsidP="003D4D50">
            <w:pPr>
              <w:pStyle w:val="naisc"/>
              <w:spacing w:before="0" w:after="0"/>
            </w:pPr>
            <w:r>
              <w:t>(11.01.2021. iebildums)</w:t>
            </w:r>
          </w:p>
          <w:p w14:paraId="10744D7F" w14:textId="77777777" w:rsidR="003D4D50" w:rsidRDefault="003D4D50" w:rsidP="003D4D50">
            <w:pPr>
              <w:pStyle w:val="naisc"/>
              <w:spacing w:before="0" w:after="0"/>
            </w:pPr>
          </w:p>
          <w:p w14:paraId="58CDC578" w14:textId="77777777" w:rsidR="003D4D50" w:rsidRPr="00C70FE2" w:rsidRDefault="003D4D50" w:rsidP="003D4D50">
            <w:pPr>
              <w:pStyle w:val="naisc"/>
              <w:spacing w:before="0" w:after="0"/>
              <w:jc w:val="both"/>
            </w:pPr>
            <w:r w:rsidRPr="00C70FE2">
              <w:t>Plāna projekta 1.1. sadaļas “Globālo pārmaiņu ietekme uz darba tirgu” 6. lpp. otrā rindkopa pašlaik izteikta šādā redakcijā “</w:t>
            </w:r>
            <w:r w:rsidRPr="00C70FE2">
              <w:rPr>
                <w:i/>
              </w:rPr>
              <w:t xml:space="preserve">Nākotnē organizācijām būs svarīgi darboties tā, lai veicinātu Eiropas Komisijas noteikto Eiropas Zaļo kursu, kas ir izraudzīts ar mērķi risināt ar klimatu un vidi saistītās problēmas. Nākotnē rīcībpolitikas risinājumiem jābūt drosmīgiem un visaptverošiem, un tiem jābūt orientētiem uz maksimālu labumu veselības, dzīves kvalitātes, noturības un konkurētspējas ziņā.  Organizācijām būs jāmeklē ilgtspējīgi risinājumi klimatneitralitātes veicināšanai. Zaļā kursa pamatuzstādījums ilgtspējas mērķu sasniegšanai ir digitālās tehnoloģijas.  Attīstot digitālo transformāciju un attālināta darba iespējas ar mērķi, lai vismaz 80% publiskās pārvaldes iestāžu nodarbināto ir iespēja strādāt attālināti, kā arī attīstot interaktīvas mācības digitālā formātā, mēs kopīgi veicināsim Eiropas Zaļā kursa mērķi”. </w:t>
            </w:r>
            <w:r w:rsidRPr="00C70FE2">
              <w:t>Vēršam uzmanību, ka attālinātā darba iespējas nodrošināšana nav viens no Eiropas zaļā kursa mērķiem/rezultatīvajiem rādītājiem, tādējādi lūdzam veikt redakcionālus labojumus. Digitālās transformācijas pamatnostādnēs rādītājs “</w:t>
            </w:r>
            <w:r w:rsidRPr="00C70FE2">
              <w:rPr>
                <w:i/>
              </w:rPr>
              <w:t>Nodrošināt, ka vismaz 80% valsts pārvaldē strādājošo ir nodrošināta iespēja strādāt attālināti</w:t>
            </w:r>
            <w:r w:rsidRPr="00C70FE2">
              <w:t>” pievienots pie cita politikas rezultāta “</w:t>
            </w:r>
            <w:r w:rsidRPr="00C70FE2">
              <w:rPr>
                <w:i/>
              </w:rPr>
              <w:t>Pieaug iedzīvotāju apmierinātība ar valsts pārvaldi…</w:t>
            </w:r>
            <w:r w:rsidRPr="00C70FE2">
              <w:t>”.</w:t>
            </w:r>
          </w:p>
        </w:tc>
        <w:tc>
          <w:tcPr>
            <w:tcW w:w="3427" w:type="dxa"/>
            <w:gridSpan w:val="2"/>
            <w:tcBorders>
              <w:left w:val="single" w:sz="6" w:space="0" w:color="000000" w:themeColor="text1"/>
              <w:bottom w:val="single" w:sz="4" w:space="0" w:color="auto"/>
              <w:right w:val="single" w:sz="6" w:space="0" w:color="000000" w:themeColor="text1"/>
            </w:tcBorders>
          </w:tcPr>
          <w:p w14:paraId="3712A02F" w14:textId="558DC0BC" w:rsidR="003D4D50" w:rsidRPr="009D4684" w:rsidRDefault="003D4D50" w:rsidP="003D4D50">
            <w:pPr>
              <w:pStyle w:val="naisc"/>
              <w:spacing w:before="0" w:after="0"/>
              <w:jc w:val="both"/>
              <w:rPr>
                <w:b/>
                <w:bCs/>
              </w:rPr>
            </w:pPr>
            <w:r w:rsidRPr="009D4684">
              <w:rPr>
                <w:b/>
                <w:bCs/>
              </w:rPr>
              <w:t>Ņemts vērā</w:t>
            </w:r>
          </w:p>
          <w:p w14:paraId="691D7F9B" w14:textId="472EBABC" w:rsidR="003D4D50" w:rsidRPr="00712B66" w:rsidRDefault="003D4D50" w:rsidP="003D4D50">
            <w:pPr>
              <w:pStyle w:val="naisc"/>
              <w:spacing w:before="0" w:after="0"/>
              <w:jc w:val="both"/>
            </w:pPr>
          </w:p>
        </w:tc>
        <w:tc>
          <w:tcPr>
            <w:tcW w:w="1934" w:type="dxa"/>
            <w:tcBorders>
              <w:top w:val="single" w:sz="4" w:space="0" w:color="auto"/>
              <w:left w:val="single" w:sz="4" w:space="0" w:color="auto"/>
              <w:bottom w:val="single" w:sz="4" w:space="0" w:color="auto"/>
            </w:tcBorders>
          </w:tcPr>
          <w:p w14:paraId="2BB5568B" w14:textId="6695C266" w:rsidR="003D4D50" w:rsidRPr="00712B66" w:rsidRDefault="003D4D50" w:rsidP="003D4D50">
            <w:pPr>
              <w:jc w:val="both"/>
            </w:pPr>
            <w:r>
              <w:t>Skat. Plāna projekta 1.1. sadaļu.</w:t>
            </w:r>
          </w:p>
        </w:tc>
      </w:tr>
      <w:tr w:rsidR="003D4D50" w:rsidRPr="00712B66" w14:paraId="5EEAA912" w14:textId="77777777" w:rsidTr="7E8539FD">
        <w:tc>
          <w:tcPr>
            <w:tcW w:w="673" w:type="dxa"/>
            <w:tcBorders>
              <w:left w:val="single" w:sz="6" w:space="0" w:color="000000" w:themeColor="text1"/>
              <w:bottom w:val="single" w:sz="4" w:space="0" w:color="auto"/>
              <w:right w:val="single" w:sz="6" w:space="0" w:color="000000" w:themeColor="text1"/>
            </w:tcBorders>
          </w:tcPr>
          <w:p w14:paraId="516D37E6" w14:textId="5A0BB37F" w:rsidR="003D4D50" w:rsidRDefault="00F76D07" w:rsidP="003D4D50">
            <w:pPr>
              <w:pStyle w:val="naisc"/>
              <w:spacing w:before="0" w:after="0"/>
            </w:pPr>
            <w:r>
              <w:t>31</w:t>
            </w:r>
            <w:r w:rsidR="003D4D50">
              <w:t>.</w:t>
            </w:r>
          </w:p>
        </w:tc>
        <w:tc>
          <w:tcPr>
            <w:tcW w:w="1835" w:type="dxa"/>
            <w:tcBorders>
              <w:left w:val="single" w:sz="6" w:space="0" w:color="000000" w:themeColor="text1"/>
              <w:bottom w:val="single" w:sz="4" w:space="0" w:color="auto"/>
              <w:right w:val="single" w:sz="6" w:space="0" w:color="000000" w:themeColor="text1"/>
            </w:tcBorders>
          </w:tcPr>
          <w:p w14:paraId="6606444D" w14:textId="0E368CB3" w:rsidR="003D4D50" w:rsidRDefault="003D4D50" w:rsidP="003D4D50">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19771E55" w14:textId="77777777" w:rsidR="003D4D50" w:rsidRDefault="003D4D50" w:rsidP="003D4D50">
            <w:pPr>
              <w:pStyle w:val="naisc"/>
              <w:spacing w:before="0" w:after="0"/>
              <w:rPr>
                <w:b/>
              </w:rPr>
            </w:pPr>
            <w:r>
              <w:rPr>
                <w:b/>
              </w:rPr>
              <w:t>Vides aizsardzības un reģionālās attīstības ministrija</w:t>
            </w:r>
          </w:p>
          <w:p w14:paraId="09D36CFD" w14:textId="77777777" w:rsidR="003D4D50" w:rsidRDefault="003D4D50" w:rsidP="003D4D50">
            <w:pPr>
              <w:pStyle w:val="naisc"/>
              <w:spacing w:before="0" w:after="0"/>
            </w:pPr>
            <w:r>
              <w:t>(11.01.2021. iebildums)</w:t>
            </w:r>
          </w:p>
          <w:p w14:paraId="0F08CBAD" w14:textId="77777777" w:rsidR="003D4D50" w:rsidRDefault="003D4D50" w:rsidP="003D4D50">
            <w:pPr>
              <w:pStyle w:val="naisc"/>
              <w:spacing w:before="0" w:after="0"/>
              <w:rPr>
                <w:b/>
              </w:rPr>
            </w:pPr>
          </w:p>
          <w:p w14:paraId="5F7A744D" w14:textId="77777777" w:rsidR="003D4D50" w:rsidRPr="00C70FE2" w:rsidRDefault="003D4D50" w:rsidP="003D4D50">
            <w:pPr>
              <w:pStyle w:val="naisc"/>
              <w:spacing w:before="0" w:after="0"/>
              <w:jc w:val="both"/>
            </w:pPr>
            <w:r w:rsidRPr="00C70FE2">
              <w:t>Plāna projekta 1.2. sadaļas “Sasaiste ar starptautiskā un nacionālā līmeņa dokumentiem” 9.lpp., norādīts, ka dokuments izstrādāts ar mērķi “</w:t>
            </w:r>
            <w:r w:rsidRPr="00C70FE2">
              <w:rPr>
                <w:i/>
              </w:rPr>
              <w:t xml:space="preserve">Mācīšanās un attīstības stratēģija izstrādāta ar mērķi, lai koncentrētu un koordinētu ieguldījumus minēto starptautisko un nacionālā līmeņa </w:t>
            </w:r>
            <w:r w:rsidRPr="00C70FE2">
              <w:rPr>
                <w:i/>
              </w:rPr>
              <w:lastRenderedPageBreak/>
              <w:t>dokumentu uzstādījumu īstenošanai un lai nodrošinātu cilvēkresursu kapacitātes stiprināšanu un prasmju attīstību, tādējādi veicinot publiskās pārvaldes darbības izcilību</w:t>
            </w:r>
            <w:r w:rsidRPr="00C70FE2">
              <w:t>”. Lūdzam precizēt mērķi primāri uzsverot praktiskos ieguvumus no plāna ietvaros definēto uzdevumu izpildes.  Piedāvājam šādu redakciju “Nodrošināt cilvēkresursu kapacitātes stiprināšanu un prasmju attīstību, tādējādi veicinot publiskās pārvaldes darbības izcilību”.</w:t>
            </w:r>
          </w:p>
        </w:tc>
        <w:tc>
          <w:tcPr>
            <w:tcW w:w="3427" w:type="dxa"/>
            <w:gridSpan w:val="2"/>
            <w:tcBorders>
              <w:left w:val="single" w:sz="6" w:space="0" w:color="000000" w:themeColor="text1"/>
              <w:bottom w:val="single" w:sz="4" w:space="0" w:color="auto"/>
              <w:right w:val="single" w:sz="6" w:space="0" w:color="000000" w:themeColor="text1"/>
            </w:tcBorders>
          </w:tcPr>
          <w:p w14:paraId="77CCA09C" w14:textId="3A27D1C0" w:rsidR="003D4D50" w:rsidRPr="009D4684" w:rsidRDefault="003D4D50" w:rsidP="003D4D50">
            <w:pPr>
              <w:pStyle w:val="naisc"/>
              <w:spacing w:before="0" w:after="0"/>
              <w:jc w:val="both"/>
              <w:rPr>
                <w:b/>
                <w:bCs/>
                <w:highlight w:val="yellow"/>
              </w:rPr>
            </w:pPr>
            <w:r w:rsidRPr="009D4684">
              <w:rPr>
                <w:b/>
                <w:bCs/>
              </w:rPr>
              <w:lastRenderedPageBreak/>
              <w:t>Ņemts vērā</w:t>
            </w:r>
          </w:p>
        </w:tc>
        <w:tc>
          <w:tcPr>
            <w:tcW w:w="1934" w:type="dxa"/>
            <w:tcBorders>
              <w:top w:val="single" w:sz="4" w:space="0" w:color="auto"/>
              <w:left w:val="single" w:sz="4" w:space="0" w:color="auto"/>
              <w:bottom w:val="single" w:sz="4" w:space="0" w:color="auto"/>
            </w:tcBorders>
          </w:tcPr>
          <w:p w14:paraId="003A7D6F" w14:textId="2F2CBC55" w:rsidR="003D4D50" w:rsidRPr="00712B66" w:rsidRDefault="003D4D50" w:rsidP="003D4D50">
            <w:pPr>
              <w:jc w:val="both"/>
            </w:pPr>
            <w:r>
              <w:t>Skat. Plāna projekta 1.2. sadaļu.</w:t>
            </w:r>
          </w:p>
        </w:tc>
      </w:tr>
      <w:tr w:rsidR="003D4D50" w:rsidRPr="00712B66" w14:paraId="016F064D" w14:textId="77777777" w:rsidTr="7E8539FD">
        <w:tc>
          <w:tcPr>
            <w:tcW w:w="673" w:type="dxa"/>
            <w:tcBorders>
              <w:left w:val="single" w:sz="6" w:space="0" w:color="000000" w:themeColor="text1"/>
              <w:bottom w:val="single" w:sz="4" w:space="0" w:color="auto"/>
              <w:right w:val="single" w:sz="6" w:space="0" w:color="000000" w:themeColor="text1"/>
            </w:tcBorders>
          </w:tcPr>
          <w:p w14:paraId="6B64F5A6" w14:textId="189421AE" w:rsidR="003D4D50" w:rsidRDefault="00F76D07" w:rsidP="003D4D50">
            <w:pPr>
              <w:pStyle w:val="naisc"/>
              <w:spacing w:before="0" w:after="0"/>
            </w:pPr>
            <w:r>
              <w:t>32</w:t>
            </w:r>
            <w:r w:rsidR="003D4D50">
              <w:t>.</w:t>
            </w:r>
          </w:p>
        </w:tc>
        <w:tc>
          <w:tcPr>
            <w:tcW w:w="1835" w:type="dxa"/>
            <w:tcBorders>
              <w:left w:val="single" w:sz="6" w:space="0" w:color="000000" w:themeColor="text1"/>
              <w:bottom w:val="single" w:sz="4" w:space="0" w:color="auto"/>
              <w:right w:val="single" w:sz="6" w:space="0" w:color="000000" w:themeColor="text1"/>
            </w:tcBorders>
          </w:tcPr>
          <w:p w14:paraId="1B30CEED" w14:textId="4E39D798" w:rsidR="003D4D50" w:rsidRDefault="003D4D50" w:rsidP="003D4D50">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3A7F2A0C" w14:textId="77777777" w:rsidR="003D4D50" w:rsidRDefault="003D4D50" w:rsidP="003D4D50">
            <w:pPr>
              <w:pStyle w:val="naisc"/>
              <w:spacing w:before="0" w:after="0"/>
              <w:rPr>
                <w:b/>
              </w:rPr>
            </w:pPr>
            <w:r>
              <w:rPr>
                <w:b/>
              </w:rPr>
              <w:t>Vides aizsardzības un reģionālās attīstības ministrija</w:t>
            </w:r>
          </w:p>
          <w:p w14:paraId="3B7CE0EE" w14:textId="77777777" w:rsidR="003D4D50" w:rsidRDefault="003D4D50" w:rsidP="003D4D50">
            <w:pPr>
              <w:pStyle w:val="naisc"/>
              <w:spacing w:before="0" w:after="0"/>
            </w:pPr>
            <w:r>
              <w:t>(11.01.2021. iebildums)</w:t>
            </w:r>
          </w:p>
          <w:p w14:paraId="40CDEABE" w14:textId="77777777" w:rsidR="003D4D50" w:rsidRDefault="003D4D50" w:rsidP="003D4D50">
            <w:pPr>
              <w:pStyle w:val="naisc"/>
              <w:spacing w:before="0" w:after="0"/>
              <w:rPr>
                <w:b/>
              </w:rPr>
            </w:pPr>
          </w:p>
          <w:p w14:paraId="36B36486" w14:textId="77777777" w:rsidR="003D4D50" w:rsidRPr="00C70FE2" w:rsidRDefault="003D4D50" w:rsidP="003D4D50">
            <w:pPr>
              <w:pStyle w:val="naisc"/>
              <w:spacing w:before="0" w:after="0"/>
              <w:jc w:val="both"/>
            </w:pPr>
            <w:r w:rsidRPr="00C70FE2">
              <w:t>Ministrijas ieskatā svarīgs priekšnoteikums regulārai un kvalitatīvai prasmju pilnveidošanai ir ne tikai spēja novērtēt darbinieku prasmes, paredzēt nākotnē nepieciešamās prasmes, nodrošināt priekšnoteikumus attīstības iespējām, bet arī pieejami finanšu resursi kvalitatīvu attīstības risinājumu piedāvāšanai darbiniekiem. Lūdzam attiecīgi papildināt plāna projekta 1.3. sadaļas 11. lpp. pēdējo rindkopu.</w:t>
            </w:r>
          </w:p>
        </w:tc>
        <w:tc>
          <w:tcPr>
            <w:tcW w:w="3427" w:type="dxa"/>
            <w:gridSpan w:val="2"/>
            <w:tcBorders>
              <w:left w:val="single" w:sz="6" w:space="0" w:color="000000" w:themeColor="text1"/>
              <w:bottom w:val="single" w:sz="4" w:space="0" w:color="auto"/>
              <w:right w:val="single" w:sz="6" w:space="0" w:color="000000" w:themeColor="text1"/>
            </w:tcBorders>
          </w:tcPr>
          <w:p w14:paraId="1B2438EE" w14:textId="24A68A58" w:rsidR="003D4D50" w:rsidRPr="009D4684" w:rsidRDefault="003D4D50" w:rsidP="003D4D50">
            <w:pPr>
              <w:pStyle w:val="naisc"/>
              <w:spacing w:before="0" w:after="0"/>
              <w:jc w:val="both"/>
              <w:rPr>
                <w:b/>
                <w:bCs/>
                <w:highlight w:val="yellow"/>
              </w:rPr>
            </w:pPr>
            <w:r w:rsidRPr="009D4684">
              <w:rPr>
                <w:b/>
                <w:bCs/>
              </w:rPr>
              <w:t>Ņemts vērā</w:t>
            </w:r>
          </w:p>
        </w:tc>
        <w:tc>
          <w:tcPr>
            <w:tcW w:w="1934" w:type="dxa"/>
            <w:tcBorders>
              <w:top w:val="single" w:sz="4" w:space="0" w:color="auto"/>
              <w:left w:val="single" w:sz="4" w:space="0" w:color="auto"/>
              <w:bottom w:val="single" w:sz="4" w:space="0" w:color="auto"/>
            </w:tcBorders>
          </w:tcPr>
          <w:p w14:paraId="57A8CA8A" w14:textId="1BD00730" w:rsidR="003D4D50" w:rsidRPr="00712B66" w:rsidRDefault="003D4D50" w:rsidP="003D4D50">
            <w:pPr>
              <w:jc w:val="both"/>
            </w:pPr>
            <w:r>
              <w:t>Skat. Plāna projekta 1.3. sadaļu.</w:t>
            </w:r>
          </w:p>
        </w:tc>
      </w:tr>
      <w:tr w:rsidR="003D4D50" w:rsidRPr="00712B66" w14:paraId="66B9643F" w14:textId="77777777" w:rsidTr="7E8539FD">
        <w:tc>
          <w:tcPr>
            <w:tcW w:w="673" w:type="dxa"/>
            <w:tcBorders>
              <w:left w:val="single" w:sz="6" w:space="0" w:color="000000" w:themeColor="text1"/>
              <w:bottom w:val="single" w:sz="4" w:space="0" w:color="auto"/>
              <w:right w:val="single" w:sz="6" w:space="0" w:color="000000" w:themeColor="text1"/>
            </w:tcBorders>
          </w:tcPr>
          <w:p w14:paraId="1B51563F" w14:textId="01E181E3" w:rsidR="003D4D50" w:rsidRDefault="00F76D07" w:rsidP="003D4D50">
            <w:pPr>
              <w:pStyle w:val="naisc"/>
              <w:spacing w:before="0" w:after="0"/>
            </w:pPr>
            <w:r>
              <w:t>33</w:t>
            </w:r>
            <w:r w:rsidR="003D4D50">
              <w:t>.</w:t>
            </w:r>
          </w:p>
        </w:tc>
        <w:tc>
          <w:tcPr>
            <w:tcW w:w="1835" w:type="dxa"/>
            <w:tcBorders>
              <w:left w:val="single" w:sz="6" w:space="0" w:color="000000" w:themeColor="text1"/>
              <w:bottom w:val="single" w:sz="4" w:space="0" w:color="auto"/>
              <w:right w:val="single" w:sz="6" w:space="0" w:color="000000" w:themeColor="text1"/>
            </w:tcBorders>
          </w:tcPr>
          <w:p w14:paraId="1A66710D" w14:textId="274BC72C" w:rsidR="003D4D50" w:rsidRDefault="003D4D50" w:rsidP="003D4D50">
            <w:pPr>
              <w:pStyle w:val="naisc"/>
              <w:spacing w:before="0" w:after="0"/>
              <w:jc w:val="both"/>
            </w:pPr>
            <w:r>
              <w:t>Skat. Plāna projekta 2.1. sadaļu.</w:t>
            </w:r>
          </w:p>
        </w:tc>
        <w:tc>
          <w:tcPr>
            <w:tcW w:w="7123" w:type="dxa"/>
            <w:gridSpan w:val="2"/>
            <w:tcBorders>
              <w:left w:val="single" w:sz="6" w:space="0" w:color="000000" w:themeColor="text1"/>
              <w:bottom w:val="single" w:sz="4" w:space="0" w:color="auto"/>
              <w:right w:val="single" w:sz="6" w:space="0" w:color="000000" w:themeColor="text1"/>
            </w:tcBorders>
          </w:tcPr>
          <w:p w14:paraId="670BCD9C" w14:textId="77777777" w:rsidR="003D4D50" w:rsidRDefault="003D4D50" w:rsidP="003D4D50">
            <w:pPr>
              <w:pStyle w:val="naisc"/>
              <w:spacing w:before="0" w:after="0"/>
              <w:rPr>
                <w:b/>
              </w:rPr>
            </w:pPr>
            <w:r>
              <w:rPr>
                <w:b/>
              </w:rPr>
              <w:t>Vides aizsardzības un reģionālās attīstības ministrija</w:t>
            </w:r>
          </w:p>
          <w:p w14:paraId="4ADBBF9D" w14:textId="77777777" w:rsidR="003D4D50" w:rsidRDefault="003D4D50" w:rsidP="003D4D50">
            <w:pPr>
              <w:pStyle w:val="naisc"/>
              <w:spacing w:before="0" w:after="0"/>
            </w:pPr>
            <w:r>
              <w:t>(11.01.2021. iebildums)</w:t>
            </w:r>
          </w:p>
          <w:p w14:paraId="6B52B569" w14:textId="77777777" w:rsidR="003D4D50" w:rsidRDefault="003D4D50" w:rsidP="003D4D50">
            <w:pPr>
              <w:pStyle w:val="naisc"/>
              <w:spacing w:before="0" w:after="0"/>
              <w:rPr>
                <w:b/>
              </w:rPr>
            </w:pPr>
          </w:p>
          <w:p w14:paraId="5F067301" w14:textId="77777777" w:rsidR="003D4D50" w:rsidRPr="00534060" w:rsidRDefault="003D4D50" w:rsidP="003D4D50">
            <w:pPr>
              <w:pStyle w:val="naisc"/>
              <w:spacing w:before="0" w:after="0"/>
              <w:jc w:val="both"/>
            </w:pPr>
            <w:r w:rsidRPr="00534060">
              <w:t>Lūdzam precizēt Plāna projekta 2.1. sadaļas “Misija un vīzija” 14. lpp. ceturto rindkopu “</w:t>
            </w:r>
            <w:r w:rsidRPr="00534060">
              <w:rPr>
                <w:i/>
                <w:iCs/>
              </w:rPr>
              <w:t>Lai publiskā pārvalde kļūtu par organizāciju, kas mācās, ir svarīgi attīstīt mērķtiecīgu mācīšanās kultūru. Tā ir kultūra, kurā “plaukst” mācīšanās – tāda, kurā cilvēki var ātri mācīties un kurā var ātri zināšanas pielietot praksē, un kurā dalās ar zināšanām</w:t>
            </w:r>
            <w:r w:rsidRPr="00534060">
              <w:t>”, norādot, ka darbinieki iegūtās teorētiskās zināšanas var nostiprināt praksē (darba apstākļos), nepieciešamības gadījumā saņemot atbalstu.</w:t>
            </w:r>
          </w:p>
        </w:tc>
        <w:tc>
          <w:tcPr>
            <w:tcW w:w="3427" w:type="dxa"/>
            <w:gridSpan w:val="2"/>
            <w:tcBorders>
              <w:left w:val="single" w:sz="6" w:space="0" w:color="000000" w:themeColor="text1"/>
              <w:bottom w:val="single" w:sz="4" w:space="0" w:color="auto"/>
              <w:right w:val="single" w:sz="6" w:space="0" w:color="000000" w:themeColor="text1"/>
            </w:tcBorders>
          </w:tcPr>
          <w:p w14:paraId="1576E2EE" w14:textId="24161269" w:rsidR="003D4D50" w:rsidRPr="009D4684" w:rsidRDefault="003D4D50" w:rsidP="003D4D50">
            <w:pPr>
              <w:pStyle w:val="naisc"/>
              <w:spacing w:before="0" w:after="0"/>
              <w:jc w:val="both"/>
              <w:rPr>
                <w:b/>
                <w:bCs/>
              </w:rPr>
            </w:pPr>
            <w:r w:rsidRPr="009D4684">
              <w:rPr>
                <w:b/>
                <w:bCs/>
              </w:rPr>
              <w:t>Ņemts vērā</w:t>
            </w:r>
          </w:p>
        </w:tc>
        <w:tc>
          <w:tcPr>
            <w:tcW w:w="1934" w:type="dxa"/>
            <w:tcBorders>
              <w:top w:val="single" w:sz="4" w:space="0" w:color="auto"/>
              <w:left w:val="single" w:sz="4" w:space="0" w:color="auto"/>
              <w:bottom w:val="single" w:sz="4" w:space="0" w:color="auto"/>
            </w:tcBorders>
          </w:tcPr>
          <w:p w14:paraId="0CEC77B7" w14:textId="4D882A31" w:rsidR="003D4D50" w:rsidRPr="00712B66" w:rsidRDefault="003D4D50" w:rsidP="003D4D50">
            <w:pPr>
              <w:jc w:val="both"/>
            </w:pPr>
            <w:r>
              <w:t xml:space="preserve">Skat. Plāna projekta 2.1. sadaļu. </w:t>
            </w:r>
          </w:p>
        </w:tc>
      </w:tr>
      <w:tr w:rsidR="003D4D50" w:rsidRPr="00712B66" w14:paraId="6B76E147" w14:textId="77777777" w:rsidTr="7E8539FD">
        <w:tc>
          <w:tcPr>
            <w:tcW w:w="673" w:type="dxa"/>
            <w:tcBorders>
              <w:left w:val="single" w:sz="6" w:space="0" w:color="000000" w:themeColor="text1"/>
              <w:bottom w:val="single" w:sz="4" w:space="0" w:color="auto"/>
              <w:right w:val="single" w:sz="6" w:space="0" w:color="000000" w:themeColor="text1"/>
            </w:tcBorders>
          </w:tcPr>
          <w:p w14:paraId="7147AAA3" w14:textId="21EED896" w:rsidR="003D4D50" w:rsidRDefault="00F76D07" w:rsidP="003D4D50">
            <w:pPr>
              <w:pStyle w:val="naisc"/>
              <w:spacing w:before="0" w:after="0"/>
            </w:pPr>
            <w:r>
              <w:t>34</w:t>
            </w:r>
            <w:r w:rsidR="003D4D50">
              <w:t>.</w:t>
            </w:r>
          </w:p>
        </w:tc>
        <w:tc>
          <w:tcPr>
            <w:tcW w:w="1835" w:type="dxa"/>
            <w:tcBorders>
              <w:left w:val="single" w:sz="6" w:space="0" w:color="000000" w:themeColor="text1"/>
              <w:bottom w:val="single" w:sz="4" w:space="0" w:color="auto"/>
              <w:right w:val="single" w:sz="6" w:space="0" w:color="000000" w:themeColor="text1"/>
            </w:tcBorders>
          </w:tcPr>
          <w:p w14:paraId="656A22AD" w14:textId="050861C8" w:rsidR="003D4D50" w:rsidRDefault="003D4D50" w:rsidP="003D4D50">
            <w:pPr>
              <w:pStyle w:val="naisc"/>
              <w:spacing w:before="0" w:after="0"/>
              <w:jc w:val="both"/>
            </w:pPr>
            <w:r>
              <w:t>Skat. Plāna projekta 2.3. sadaļu.</w:t>
            </w:r>
          </w:p>
        </w:tc>
        <w:tc>
          <w:tcPr>
            <w:tcW w:w="7123" w:type="dxa"/>
            <w:gridSpan w:val="2"/>
            <w:tcBorders>
              <w:left w:val="single" w:sz="6" w:space="0" w:color="000000" w:themeColor="text1"/>
              <w:bottom w:val="single" w:sz="4" w:space="0" w:color="auto"/>
              <w:right w:val="single" w:sz="6" w:space="0" w:color="000000" w:themeColor="text1"/>
            </w:tcBorders>
          </w:tcPr>
          <w:p w14:paraId="33C1439B" w14:textId="77777777" w:rsidR="003D4D50" w:rsidRDefault="003D4D50" w:rsidP="003D4D50">
            <w:pPr>
              <w:pStyle w:val="naisc"/>
              <w:spacing w:before="0" w:after="0"/>
              <w:rPr>
                <w:b/>
              </w:rPr>
            </w:pPr>
            <w:r>
              <w:rPr>
                <w:b/>
              </w:rPr>
              <w:t>Vides aizsardzības un reģionālās attīstības ministrija</w:t>
            </w:r>
          </w:p>
          <w:p w14:paraId="184B5559" w14:textId="77777777" w:rsidR="003D4D50" w:rsidRDefault="003D4D50" w:rsidP="003D4D50">
            <w:pPr>
              <w:pStyle w:val="naisc"/>
              <w:spacing w:before="0" w:after="0"/>
            </w:pPr>
            <w:r>
              <w:t>(11.01.2021. iebildums)</w:t>
            </w:r>
          </w:p>
          <w:p w14:paraId="1D15E81D" w14:textId="77777777" w:rsidR="003D4D50" w:rsidRDefault="003D4D50" w:rsidP="003D4D50">
            <w:pPr>
              <w:pStyle w:val="naisc"/>
              <w:spacing w:before="0" w:after="0"/>
              <w:rPr>
                <w:b/>
              </w:rPr>
            </w:pPr>
          </w:p>
          <w:p w14:paraId="6C765D86" w14:textId="77777777" w:rsidR="003D4D50" w:rsidRPr="00534060" w:rsidRDefault="003D4D50" w:rsidP="003D4D50">
            <w:pPr>
              <w:pStyle w:val="naisc"/>
              <w:spacing w:before="0" w:after="0"/>
              <w:jc w:val="both"/>
            </w:pPr>
            <w:r w:rsidRPr="00534060">
              <w:t xml:space="preserve">Lūdzam papildināt Plāna projekta sadaļu 2.3. “Stratēģijas īstenošanas rezultāti un ieguvumi”, paredzot, ka valsts pārvaldes iestāžu izveidotais mācību saturs, kursi pieejami visai sabiedrībai, ne tikai valsts un </w:t>
            </w:r>
            <w:r w:rsidRPr="00534060">
              <w:lastRenderedPageBreak/>
              <w:t>pašvaldību iestāžu darbiniekiem, tādējādi veicinot sabiedrības izpratni par valsts pārvaldes darbību.</w:t>
            </w:r>
          </w:p>
        </w:tc>
        <w:tc>
          <w:tcPr>
            <w:tcW w:w="3427" w:type="dxa"/>
            <w:gridSpan w:val="2"/>
            <w:tcBorders>
              <w:left w:val="single" w:sz="6" w:space="0" w:color="000000" w:themeColor="text1"/>
              <w:bottom w:val="single" w:sz="4" w:space="0" w:color="auto"/>
              <w:right w:val="single" w:sz="6" w:space="0" w:color="000000" w:themeColor="text1"/>
            </w:tcBorders>
          </w:tcPr>
          <w:p w14:paraId="13EED857" w14:textId="7DCD01B6" w:rsidR="003D4D50" w:rsidRPr="009D4684" w:rsidRDefault="003D4D50" w:rsidP="003D4D50">
            <w:pPr>
              <w:pStyle w:val="naisc"/>
              <w:spacing w:before="0" w:after="0"/>
              <w:jc w:val="both"/>
              <w:rPr>
                <w:b/>
                <w:bCs/>
              </w:rPr>
            </w:pPr>
            <w:r w:rsidRPr="009D4684">
              <w:rPr>
                <w:b/>
                <w:bCs/>
              </w:rPr>
              <w:lastRenderedPageBreak/>
              <w:t>Ņemts vērā</w:t>
            </w:r>
          </w:p>
        </w:tc>
        <w:tc>
          <w:tcPr>
            <w:tcW w:w="1934" w:type="dxa"/>
            <w:tcBorders>
              <w:top w:val="single" w:sz="4" w:space="0" w:color="auto"/>
              <w:left w:val="single" w:sz="4" w:space="0" w:color="auto"/>
              <w:bottom w:val="single" w:sz="4" w:space="0" w:color="auto"/>
            </w:tcBorders>
          </w:tcPr>
          <w:p w14:paraId="4CEE426B" w14:textId="7453CAB4" w:rsidR="003D4D50" w:rsidRPr="00712B66" w:rsidRDefault="003D4D50" w:rsidP="003D4D50">
            <w:pPr>
              <w:jc w:val="both"/>
            </w:pPr>
            <w:r>
              <w:t>Skat. Plāna projekta 2.3. sadaļu.</w:t>
            </w:r>
          </w:p>
        </w:tc>
      </w:tr>
      <w:tr w:rsidR="003D4D50" w:rsidRPr="00712B66" w14:paraId="6E4730CA" w14:textId="77777777" w:rsidTr="7E8539FD">
        <w:tc>
          <w:tcPr>
            <w:tcW w:w="673" w:type="dxa"/>
            <w:tcBorders>
              <w:left w:val="single" w:sz="6" w:space="0" w:color="000000" w:themeColor="text1"/>
              <w:bottom w:val="single" w:sz="4" w:space="0" w:color="auto"/>
              <w:right w:val="single" w:sz="6" w:space="0" w:color="000000" w:themeColor="text1"/>
            </w:tcBorders>
          </w:tcPr>
          <w:p w14:paraId="3A5A996B" w14:textId="544A6E60" w:rsidR="003D4D50" w:rsidRDefault="00F76D07" w:rsidP="003D4D50">
            <w:pPr>
              <w:pStyle w:val="naisc"/>
              <w:spacing w:before="0" w:after="0"/>
            </w:pPr>
            <w:r>
              <w:t>35</w:t>
            </w:r>
            <w:r w:rsidR="003D4D50">
              <w:t>.</w:t>
            </w:r>
          </w:p>
        </w:tc>
        <w:tc>
          <w:tcPr>
            <w:tcW w:w="1835" w:type="dxa"/>
            <w:tcBorders>
              <w:left w:val="single" w:sz="6" w:space="0" w:color="000000" w:themeColor="text1"/>
              <w:bottom w:val="single" w:sz="4" w:space="0" w:color="auto"/>
              <w:right w:val="single" w:sz="6" w:space="0" w:color="000000" w:themeColor="text1"/>
            </w:tcBorders>
          </w:tcPr>
          <w:p w14:paraId="40BC6C9F" w14:textId="5E7F2D0C" w:rsidR="003D4D50" w:rsidRDefault="003D4D50" w:rsidP="003D4D50">
            <w:pPr>
              <w:pStyle w:val="naisc"/>
              <w:spacing w:before="0" w:after="0"/>
              <w:jc w:val="both"/>
            </w:pPr>
            <w:r>
              <w:t>Skat. Plāna projekta 3.2. sadaļu.</w:t>
            </w:r>
          </w:p>
        </w:tc>
        <w:tc>
          <w:tcPr>
            <w:tcW w:w="7123" w:type="dxa"/>
            <w:gridSpan w:val="2"/>
            <w:tcBorders>
              <w:left w:val="single" w:sz="6" w:space="0" w:color="000000" w:themeColor="text1"/>
              <w:bottom w:val="single" w:sz="4" w:space="0" w:color="auto"/>
              <w:right w:val="single" w:sz="6" w:space="0" w:color="000000" w:themeColor="text1"/>
            </w:tcBorders>
          </w:tcPr>
          <w:p w14:paraId="179FE5EF" w14:textId="77777777" w:rsidR="003D4D50" w:rsidRDefault="003D4D50" w:rsidP="003D4D50">
            <w:pPr>
              <w:pStyle w:val="naisc"/>
              <w:spacing w:before="0" w:after="0"/>
              <w:rPr>
                <w:b/>
              </w:rPr>
            </w:pPr>
            <w:r>
              <w:rPr>
                <w:b/>
              </w:rPr>
              <w:t>Vides aizsardzības un reģionālās attīstības ministrija</w:t>
            </w:r>
          </w:p>
          <w:p w14:paraId="6C44B0F4" w14:textId="77777777" w:rsidR="003D4D50" w:rsidRDefault="003D4D50" w:rsidP="003D4D50">
            <w:pPr>
              <w:pStyle w:val="naisc"/>
              <w:spacing w:before="0" w:after="0"/>
            </w:pPr>
            <w:r>
              <w:t>(11.01.2021. iebildums)</w:t>
            </w:r>
          </w:p>
          <w:p w14:paraId="22456426" w14:textId="77777777" w:rsidR="003D4D50" w:rsidRDefault="003D4D50" w:rsidP="003D4D50">
            <w:pPr>
              <w:pStyle w:val="naisc"/>
              <w:spacing w:before="0" w:after="0"/>
              <w:rPr>
                <w:b/>
              </w:rPr>
            </w:pPr>
          </w:p>
          <w:p w14:paraId="5B1FC1AC" w14:textId="77777777" w:rsidR="003D4D50" w:rsidRPr="00534060" w:rsidRDefault="003D4D50" w:rsidP="003D4D50">
            <w:pPr>
              <w:pStyle w:val="naisc"/>
              <w:spacing w:before="0" w:after="0"/>
              <w:jc w:val="both"/>
            </w:pPr>
            <w:r w:rsidRPr="00534060">
              <w:t>Lūdzam precizēt Plāna projekta 3.2. sadaļas   “Inovācija un koprade modernai rīcībpolitikai un pakalpojumiem publiskajā pārvaldē” 28. lpp pirmās rindkopas otro teikumu “</w:t>
            </w:r>
            <w:r w:rsidRPr="00534060">
              <w:rPr>
                <w:i/>
              </w:rPr>
              <w:t>Attīstot atbilstošas kompetences, tai skaitā, inovācijas un eksperimentēšanas prasmes, publiskajā pārvaldē nodarbinātie spēs sekmīgāk veidot pierādījumos balstītu  nozares politiku un attīstības stratēģijas, koordinēt nozaru darbības, izstrādāt normatīvos aktus tā, lai tie neradītu nesamērīgu administratīvo slogu, nodrošināt lēmumu izpildi, risināt starpresoru izaicinājumus pēc būtības, īstenot digitālo transformāciju un veikt citas darbības, kas definē publiskās pārvaldes būtību</w:t>
            </w:r>
            <w:r w:rsidRPr="00534060">
              <w:t>”, izsakot to šādā redakcijā “</w:t>
            </w:r>
            <w:r w:rsidRPr="00534060">
              <w:rPr>
                <w:i/>
              </w:rPr>
              <w:t xml:space="preserve">Attīstot atbilstošas kompetences, tai skaitā, inovācijas un eksperimentēšanas prasmes, publiskajā pārvaldē nodarbinātie spēs sekmīgāk veidot pierādījumos balstītu </w:t>
            </w:r>
            <w:r w:rsidRPr="00534060">
              <w:rPr>
                <w:i/>
                <w:u w:val="single"/>
              </w:rPr>
              <w:t>savstarpēji sinhronizētu nozaru politiku</w:t>
            </w:r>
            <w:r w:rsidRPr="00534060">
              <w:rPr>
                <w:i/>
              </w:rPr>
              <w:t xml:space="preserve"> un attīstības stratēģijas, koordinēt nozaru darbības, izstrādāt normatīvos aktus tā, lai tie neradītu nesamērīgu administratīvo slogu, nodrošināt lēmumu izpildi, risināt starpresoru izaicinājumus pēc būtības, īstenot digitālo transformāciju un veikt citas darbības, kas definē publiskās pārvaldes būtību</w:t>
            </w:r>
            <w:r w:rsidRPr="00534060">
              <w:t>”.</w:t>
            </w:r>
          </w:p>
        </w:tc>
        <w:tc>
          <w:tcPr>
            <w:tcW w:w="3427" w:type="dxa"/>
            <w:gridSpan w:val="2"/>
            <w:tcBorders>
              <w:left w:val="single" w:sz="6" w:space="0" w:color="000000" w:themeColor="text1"/>
              <w:bottom w:val="single" w:sz="4" w:space="0" w:color="auto"/>
              <w:right w:val="single" w:sz="6" w:space="0" w:color="000000" w:themeColor="text1"/>
            </w:tcBorders>
          </w:tcPr>
          <w:p w14:paraId="6C55C257" w14:textId="3CC78C78" w:rsidR="003D4D50" w:rsidRPr="009D4684" w:rsidRDefault="003D4D50" w:rsidP="003D4D50">
            <w:pPr>
              <w:pStyle w:val="naisc"/>
              <w:spacing w:before="0" w:after="0"/>
              <w:jc w:val="both"/>
              <w:rPr>
                <w:b/>
                <w:bCs/>
              </w:rPr>
            </w:pPr>
            <w:r w:rsidRPr="009D4684">
              <w:rPr>
                <w:b/>
                <w:bCs/>
              </w:rPr>
              <w:t>Ņemts vērā</w:t>
            </w:r>
          </w:p>
        </w:tc>
        <w:tc>
          <w:tcPr>
            <w:tcW w:w="1934" w:type="dxa"/>
            <w:tcBorders>
              <w:top w:val="single" w:sz="4" w:space="0" w:color="auto"/>
              <w:left w:val="single" w:sz="4" w:space="0" w:color="auto"/>
              <w:bottom w:val="single" w:sz="4" w:space="0" w:color="auto"/>
            </w:tcBorders>
          </w:tcPr>
          <w:p w14:paraId="310D8229" w14:textId="4925DF2E" w:rsidR="003D4D50" w:rsidRPr="00712B66" w:rsidRDefault="003D4D50" w:rsidP="003D4D50">
            <w:pPr>
              <w:jc w:val="both"/>
            </w:pPr>
            <w:r>
              <w:t>Skat. Plāna projekta 3.2. sadaļu.</w:t>
            </w:r>
          </w:p>
        </w:tc>
      </w:tr>
      <w:tr w:rsidR="003D4D50" w:rsidRPr="00712B66" w14:paraId="50A5FE14" w14:textId="77777777" w:rsidTr="7E8539FD">
        <w:tc>
          <w:tcPr>
            <w:tcW w:w="673" w:type="dxa"/>
            <w:tcBorders>
              <w:left w:val="single" w:sz="6" w:space="0" w:color="000000" w:themeColor="text1"/>
              <w:bottom w:val="single" w:sz="4" w:space="0" w:color="auto"/>
              <w:right w:val="single" w:sz="6" w:space="0" w:color="000000" w:themeColor="text1"/>
            </w:tcBorders>
          </w:tcPr>
          <w:p w14:paraId="3C27A3AE" w14:textId="3122D918" w:rsidR="003D4D50" w:rsidRDefault="00F76D07" w:rsidP="003D4D50">
            <w:pPr>
              <w:pStyle w:val="naisc"/>
              <w:spacing w:before="0" w:after="0"/>
            </w:pPr>
            <w:r>
              <w:t>36</w:t>
            </w:r>
            <w:r w:rsidR="003D4D50">
              <w:t>.</w:t>
            </w:r>
          </w:p>
        </w:tc>
        <w:tc>
          <w:tcPr>
            <w:tcW w:w="1835" w:type="dxa"/>
            <w:tcBorders>
              <w:left w:val="single" w:sz="6" w:space="0" w:color="000000" w:themeColor="text1"/>
              <w:bottom w:val="single" w:sz="4" w:space="0" w:color="auto"/>
              <w:right w:val="single" w:sz="6" w:space="0" w:color="000000" w:themeColor="text1"/>
            </w:tcBorders>
          </w:tcPr>
          <w:p w14:paraId="57BF0C12" w14:textId="130C2020" w:rsidR="003D4D50" w:rsidRDefault="003D4D50" w:rsidP="003D4D50">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573F01C7" w14:textId="77777777" w:rsidR="003D4D50" w:rsidRDefault="003D4D50" w:rsidP="003D4D50">
            <w:pPr>
              <w:pStyle w:val="naisc"/>
              <w:spacing w:before="0" w:after="0"/>
              <w:rPr>
                <w:b/>
              </w:rPr>
            </w:pPr>
            <w:r>
              <w:rPr>
                <w:b/>
              </w:rPr>
              <w:t>Vides aizsardzības un reģionālās attīstības ministrija</w:t>
            </w:r>
          </w:p>
          <w:p w14:paraId="27341712" w14:textId="77777777" w:rsidR="003D4D50" w:rsidRDefault="003D4D50" w:rsidP="003D4D50">
            <w:pPr>
              <w:pStyle w:val="naisc"/>
              <w:spacing w:before="0" w:after="0"/>
            </w:pPr>
            <w:r>
              <w:t>(11.01.2021. iebildums)</w:t>
            </w:r>
          </w:p>
          <w:p w14:paraId="1465D6F9" w14:textId="77777777" w:rsidR="003D4D50" w:rsidRDefault="003D4D50" w:rsidP="003D4D50">
            <w:pPr>
              <w:pStyle w:val="naisc"/>
              <w:spacing w:before="0" w:after="0"/>
              <w:rPr>
                <w:b/>
              </w:rPr>
            </w:pPr>
          </w:p>
          <w:p w14:paraId="21F4C23C" w14:textId="77777777" w:rsidR="003D4D50" w:rsidRPr="00534060" w:rsidRDefault="003D4D50" w:rsidP="003D4D50">
            <w:pPr>
              <w:pStyle w:val="naisc"/>
              <w:spacing w:before="0" w:after="0"/>
              <w:jc w:val="both"/>
            </w:pPr>
            <w:r w:rsidRPr="00534060">
              <w:t>Lai nodrošinātu sasaisti ar Pāna projekta 11. lpp. norādīto nepieciešamību  “</w:t>
            </w:r>
            <w:r w:rsidRPr="00534060">
              <w:rPr>
                <w:i/>
              </w:rPr>
              <w:t>spēt novērtēt darbinieku sniegumu un adekvāti noteikt attīstības vajadzības …</w:t>
            </w:r>
            <w:r w:rsidRPr="00534060">
              <w:t xml:space="preserve">” , lūdzu papildināt   3.3. sadaļas “Līderība un efektīva pārmaiņu vadība” 31. lpp. pēdējās rindkopas otro teikumu, norādot, ka  vadītājiem nepieciešams attīstīt arī prasmes novērtēt darbinieku sniegumu un adekvāti noteikt attīstības vajadzības, sniegt konstruktīvu un pozitīvu  atgriezenisko saiti, kas ir īpaši nepieciešams, </w:t>
            </w:r>
            <w:r w:rsidRPr="00534060">
              <w:lastRenderedPageBreak/>
              <w:t>lai veidotu uz attīstību vērstu iestādes darbību, ieviešot valsts pārvaldes iestādēs organizācijas kas mācās principus un veidotu mācīšanos kā ikdienas paradumu.</w:t>
            </w:r>
          </w:p>
        </w:tc>
        <w:tc>
          <w:tcPr>
            <w:tcW w:w="3427" w:type="dxa"/>
            <w:gridSpan w:val="2"/>
            <w:tcBorders>
              <w:left w:val="single" w:sz="6" w:space="0" w:color="000000" w:themeColor="text1"/>
              <w:bottom w:val="single" w:sz="4" w:space="0" w:color="auto"/>
              <w:right w:val="single" w:sz="6" w:space="0" w:color="000000" w:themeColor="text1"/>
            </w:tcBorders>
          </w:tcPr>
          <w:p w14:paraId="5132FF8D" w14:textId="6AC6D661" w:rsidR="003D4D50" w:rsidRPr="009D4684" w:rsidRDefault="003D4D50" w:rsidP="003D4D50">
            <w:pPr>
              <w:pStyle w:val="naisc"/>
              <w:spacing w:before="0" w:after="0"/>
              <w:jc w:val="both"/>
              <w:rPr>
                <w:b/>
                <w:bCs/>
              </w:rPr>
            </w:pPr>
            <w:r>
              <w:rPr>
                <w:b/>
                <w:bCs/>
              </w:rPr>
              <w:lastRenderedPageBreak/>
              <w:t>Ņ</w:t>
            </w:r>
            <w:r w:rsidRPr="009D4684">
              <w:rPr>
                <w:b/>
                <w:bCs/>
              </w:rPr>
              <w:t>emts vērā</w:t>
            </w:r>
          </w:p>
          <w:p w14:paraId="2AF2E828" w14:textId="77777777" w:rsidR="003D4D50" w:rsidRDefault="003D4D50" w:rsidP="003D4D50">
            <w:pPr>
              <w:pStyle w:val="naisc"/>
              <w:spacing w:before="0" w:after="0"/>
              <w:jc w:val="both"/>
            </w:pPr>
          </w:p>
          <w:p w14:paraId="45CC3EFB" w14:textId="4C4F68AA" w:rsidR="003D4D50" w:rsidRPr="00712B66" w:rsidRDefault="003D4D50" w:rsidP="003D4D50">
            <w:pPr>
              <w:pStyle w:val="naisc"/>
              <w:spacing w:before="0" w:after="0"/>
              <w:jc w:val="both"/>
              <w:rPr>
                <w:highlight w:val="yellow"/>
              </w:rPr>
            </w:pPr>
            <w:r>
              <w:t>Par vadītāja lomu, lai attīstītu organizācijas, kas mācās principus un ļautu nodarbinātajiem veidot mācīšanos kā ikdienas paradumu arī ir skaidrots Plāna projekta 2.1. sadaļā.</w:t>
            </w:r>
          </w:p>
        </w:tc>
        <w:tc>
          <w:tcPr>
            <w:tcW w:w="1934" w:type="dxa"/>
            <w:tcBorders>
              <w:top w:val="single" w:sz="4" w:space="0" w:color="auto"/>
              <w:left w:val="single" w:sz="4" w:space="0" w:color="auto"/>
              <w:bottom w:val="single" w:sz="4" w:space="0" w:color="auto"/>
            </w:tcBorders>
          </w:tcPr>
          <w:p w14:paraId="4798EC17" w14:textId="43258A31" w:rsidR="003D4D50" w:rsidRPr="00712B66" w:rsidRDefault="003D4D50" w:rsidP="003D4D50">
            <w:pPr>
              <w:jc w:val="both"/>
            </w:pPr>
            <w:r>
              <w:t>Skat. Plāna projekta 3.3. sadaļu.</w:t>
            </w:r>
          </w:p>
        </w:tc>
      </w:tr>
      <w:tr w:rsidR="003D4D50" w:rsidRPr="00712B66" w14:paraId="314C6620" w14:textId="77777777" w:rsidTr="7E8539FD">
        <w:tc>
          <w:tcPr>
            <w:tcW w:w="673" w:type="dxa"/>
            <w:tcBorders>
              <w:left w:val="single" w:sz="6" w:space="0" w:color="000000" w:themeColor="text1"/>
              <w:bottom w:val="single" w:sz="4" w:space="0" w:color="auto"/>
              <w:right w:val="single" w:sz="6" w:space="0" w:color="000000" w:themeColor="text1"/>
            </w:tcBorders>
          </w:tcPr>
          <w:p w14:paraId="04CCD67B" w14:textId="16F2269D" w:rsidR="003D4D50" w:rsidRDefault="00F76D07" w:rsidP="003D4D50">
            <w:pPr>
              <w:pStyle w:val="naisc"/>
              <w:spacing w:before="0" w:after="0"/>
            </w:pPr>
            <w:r>
              <w:t>37</w:t>
            </w:r>
            <w:r w:rsidR="003D4D50">
              <w:t>.</w:t>
            </w:r>
          </w:p>
        </w:tc>
        <w:tc>
          <w:tcPr>
            <w:tcW w:w="1835" w:type="dxa"/>
            <w:tcBorders>
              <w:left w:val="single" w:sz="6" w:space="0" w:color="000000" w:themeColor="text1"/>
              <w:bottom w:val="single" w:sz="4" w:space="0" w:color="auto"/>
              <w:right w:val="single" w:sz="6" w:space="0" w:color="000000" w:themeColor="text1"/>
            </w:tcBorders>
          </w:tcPr>
          <w:p w14:paraId="414CDF09" w14:textId="7EC82C60" w:rsidR="003D4D50" w:rsidRDefault="003D4D50" w:rsidP="003D4D50">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3D153882" w14:textId="77777777" w:rsidR="003D4D50" w:rsidRDefault="003D4D50" w:rsidP="003D4D50">
            <w:pPr>
              <w:pStyle w:val="naisc"/>
              <w:spacing w:before="0" w:after="0"/>
              <w:rPr>
                <w:b/>
              </w:rPr>
            </w:pPr>
            <w:r>
              <w:rPr>
                <w:b/>
              </w:rPr>
              <w:t>Vides aizsardzības un reģionālās attīstības ministrija</w:t>
            </w:r>
          </w:p>
          <w:p w14:paraId="72259DB4" w14:textId="77777777" w:rsidR="003D4D50" w:rsidRDefault="003D4D50" w:rsidP="003D4D50">
            <w:pPr>
              <w:pStyle w:val="naisc"/>
              <w:spacing w:before="0" w:after="0"/>
            </w:pPr>
            <w:r>
              <w:t>(11.01.2021. iebildums)</w:t>
            </w:r>
          </w:p>
          <w:p w14:paraId="281FF15C" w14:textId="77777777" w:rsidR="003D4D50" w:rsidRDefault="003D4D50" w:rsidP="003D4D50">
            <w:pPr>
              <w:pStyle w:val="naisc"/>
              <w:spacing w:before="0" w:after="0"/>
              <w:rPr>
                <w:b/>
              </w:rPr>
            </w:pPr>
          </w:p>
          <w:p w14:paraId="6C7B30B5" w14:textId="77777777" w:rsidR="003D4D50" w:rsidRPr="00534060" w:rsidRDefault="003D4D50" w:rsidP="003D4D50">
            <w:pPr>
              <w:pStyle w:val="naisc"/>
              <w:spacing w:before="0" w:after="0"/>
              <w:jc w:val="both"/>
            </w:pPr>
            <w:r w:rsidRPr="00534060">
              <w:t>Lūdzam precizēt Plāna projekta 34. lpp. pirmo ieguvumu no stratēģiskās prioritātes “Digitālā transformācija un datu pratība” īstenošanas, papildus iepriekš minētajam, uzsverot uzņēmējdarbības vides pilnveidošanu. Piemēram, “</w:t>
            </w:r>
            <w:r w:rsidRPr="00534060">
              <w:rPr>
                <w:i/>
              </w:rPr>
              <w:t xml:space="preserve">Nodarbināto digitālās zināšanas un prasmes atbilst publiskās pārvaldes pakalpojumu digitalizācijas vajadzībām un efektīvai pārvaldes sistēmu darbībai, rada vidi, kas veicina digitālo iespēju plašu pielietošanu </w:t>
            </w:r>
            <w:r w:rsidRPr="00534060">
              <w:rPr>
                <w:i/>
                <w:u w:val="single"/>
              </w:rPr>
              <w:t>uzņēmējdarbības vides</w:t>
            </w:r>
            <w:r w:rsidRPr="00534060">
              <w:rPr>
                <w:i/>
              </w:rPr>
              <w:t xml:space="preserve"> un digitālās sabiedrības procesu attīstību</w:t>
            </w:r>
            <w:r w:rsidRPr="00534060">
              <w:t>”.</w:t>
            </w:r>
          </w:p>
        </w:tc>
        <w:tc>
          <w:tcPr>
            <w:tcW w:w="3427" w:type="dxa"/>
            <w:gridSpan w:val="2"/>
            <w:tcBorders>
              <w:left w:val="single" w:sz="6" w:space="0" w:color="000000" w:themeColor="text1"/>
              <w:bottom w:val="single" w:sz="4" w:space="0" w:color="auto"/>
              <w:right w:val="single" w:sz="6" w:space="0" w:color="000000" w:themeColor="text1"/>
            </w:tcBorders>
          </w:tcPr>
          <w:p w14:paraId="4D088B3C" w14:textId="5D465831" w:rsidR="003D4D50" w:rsidRPr="009D4684" w:rsidRDefault="003D4D50" w:rsidP="003D4D50">
            <w:pPr>
              <w:pStyle w:val="naisc"/>
              <w:spacing w:before="0" w:after="0"/>
              <w:jc w:val="both"/>
              <w:rPr>
                <w:b/>
                <w:bCs/>
              </w:rPr>
            </w:pPr>
            <w:r w:rsidRPr="009D4684">
              <w:rPr>
                <w:b/>
                <w:bCs/>
              </w:rPr>
              <w:t>Ņemts vērā</w:t>
            </w:r>
          </w:p>
        </w:tc>
        <w:tc>
          <w:tcPr>
            <w:tcW w:w="1934" w:type="dxa"/>
            <w:tcBorders>
              <w:top w:val="single" w:sz="4" w:space="0" w:color="auto"/>
              <w:left w:val="single" w:sz="4" w:space="0" w:color="auto"/>
              <w:bottom w:val="single" w:sz="4" w:space="0" w:color="auto"/>
            </w:tcBorders>
          </w:tcPr>
          <w:p w14:paraId="5BD263D2" w14:textId="7EB0A3F6" w:rsidR="003D4D50" w:rsidRPr="00712B66" w:rsidRDefault="003D4D50" w:rsidP="003D4D50">
            <w:pPr>
              <w:jc w:val="both"/>
            </w:pPr>
            <w:r>
              <w:t>Skat. Plāna projekta 3.4. sadaļu.</w:t>
            </w:r>
          </w:p>
        </w:tc>
      </w:tr>
      <w:tr w:rsidR="003D4D50" w:rsidRPr="00712B66" w14:paraId="14C5304A" w14:textId="77777777" w:rsidTr="7E8539FD">
        <w:tc>
          <w:tcPr>
            <w:tcW w:w="673" w:type="dxa"/>
            <w:tcBorders>
              <w:left w:val="single" w:sz="6" w:space="0" w:color="000000" w:themeColor="text1"/>
              <w:bottom w:val="single" w:sz="4" w:space="0" w:color="auto"/>
              <w:right w:val="single" w:sz="6" w:space="0" w:color="000000" w:themeColor="text1"/>
            </w:tcBorders>
          </w:tcPr>
          <w:p w14:paraId="7854FFDF" w14:textId="7FDC0FAD" w:rsidR="003D4D50" w:rsidRDefault="00F76D07" w:rsidP="003D4D50">
            <w:pPr>
              <w:pStyle w:val="naisc"/>
              <w:spacing w:before="0" w:after="0"/>
            </w:pPr>
            <w:r>
              <w:t>38</w:t>
            </w:r>
            <w:r w:rsidR="003D4D50">
              <w:t>.</w:t>
            </w:r>
          </w:p>
        </w:tc>
        <w:tc>
          <w:tcPr>
            <w:tcW w:w="1835" w:type="dxa"/>
            <w:tcBorders>
              <w:left w:val="single" w:sz="6" w:space="0" w:color="000000" w:themeColor="text1"/>
              <w:bottom w:val="single" w:sz="4" w:space="0" w:color="auto"/>
              <w:right w:val="single" w:sz="6" w:space="0" w:color="000000" w:themeColor="text1"/>
            </w:tcBorders>
          </w:tcPr>
          <w:p w14:paraId="6FE90FDC" w14:textId="6C959B9F" w:rsidR="003D4D50" w:rsidRDefault="003D4D50" w:rsidP="003D4D50">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5B1262E1" w14:textId="77777777" w:rsidR="003D4D50" w:rsidRDefault="003D4D50" w:rsidP="003D4D50">
            <w:pPr>
              <w:pStyle w:val="naisc"/>
              <w:spacing w:before="0" w:after="0"/>
              <w:rPr>
                <w:b/>
              </w:rPr>
            </w:pPr>
            <w:r>
              <w:rPr>
                <w:b/>
              </w:rPr>
              <w:t>Vides aizsardzības un reģionālās attīstības ministrija</w:t>
            </w:r>
          </w:p>
          <w:p w14:paraId="6B684A98" w14:textId="77777777" w:rsidR="003D4D50" w:rsidRDefault="003D4D50" w:rsidP="003D4D50">
            <w:pPr>
              <w:pStyle w:val="naisc"/>
              <w:spacing w:before="0" w:after="0"/>
            </w:pPr>
            <w:r>
              <w:t>(11.01.2021. iebildums)</w:t>
            </w:r>
          </w:p>
          <w:p w14:paraId="1B02A8E6" w14:textId="77777777" w:rsidR="003D4D50" w:rsidRDefault="003D4D50" w:rsidP="003D4D50">
            <w:pPr>
              <w:pStyle w:val="naisc"/>
              <w:spacing w:before="0" w:after="0"/>
              <w:rPr>
                <w:b/>
              </w:rPr>
            </w:pPr>
          </w:p>
          <w:p w14:paraId="501646D0" w14:textId="77777777" w:rsidR="003D4D50" w:rsidRPr="00534060" w:rsidRDefault="003D4D50" w:rsidP="003D4D50">
            <w:pPr>
              <w:pStyle w:val="naisc"/>
              <w:spacing w:before="0" w:after="0"/>
              <w:jc w:val="both"/>
            </w:pPr>
            <w:r w:rsidRPr="00534060">
              <w:t>Lūdzam precizēt Plāna projekta 4. tabulu “Digitālā transformācija un datu pratība” 3.4.3. mērķa “Attīstīt jaunākās un nākotnes vajadzībām atbilstošas IKT prasmes un datu pratības kapacitāti” pirmo darbības rezultātu “</w:t>
            </w:r>
            <w:r w:rsidRPr="00534060">
              <w:rPr>
                <w:i/>
              </w:rPr>
              <w:t>Jaunākās un aktuālās informācijas, zināšanu un prasmju apguve IKT jomā - mācību programmas, semināri un konferences, tai skaitā sadarbībā ar nozares asociācijām, ekselences centriem un asociācijām Latvijā un ārvalstīs</w:t>
            </w:r>
            <w:r w:rsidRPr="00534060">
              <w:t>”, izsakot to šādā redakcijā “</w:t>
            </w:r>
            <w:r w:rsidRPr="00534060">
              <w:rPr>
                <w:i/>
              </w:rPr>
              <w:t>Valsts pārvaldes darbiniekiem nodrošināta regulāra aktuālo digitālās jomas zināšanu apguve  IKT jomā - mācību programmas, semināri un konferences, tai skaitā sadarbībā ar nozares asociācijām, ekselences centriem un asociācijām Latvijā un ārvalstīs</w:t>
            </w:r>
            <w:r w:rsidRPr="00534060">
              <w:t>”.</w:t>
            </w:r>
          </w:p>
        </w:tc>
        <w:tc>
          <w:tcPr>
            <w:tcW w:w="3427" w:type="dxa"/>
            <w:gridSpan w:val="2"/>
            <w:tcBorders>
              <w:left w:val="single" w:sz="6" w:space="0" w:color="000000" w:themeColor="text1"/>
              <w:bottom w:val="single" w:sz="4" w:space="0" w:color="auto"/>
              <w:right w:val="single" w:sz="6" w:space="0" w:color="000000" w:themeColor="text1"/>
            </w:tcBorders>
          </w:tcPr>
          <w:p w14:paraId="01A76971" w14:textId="670F610F" w:rsidR="003D4D50" w:rsidRPr="009D4684" w:rsidRDefault="003D4D50" w:rsidP="003D4D50">
            <w:pPr>
              <w:pStyle w:val="naisc"/>
              <w:spacing w:before="0" w:after="0"/>
              <w:jc w:val="both"/>
              <w:rPr>
                <w:b/>
                <w:bCs/>
                <w:highlight w:val="red"/>
              </w:rPr>
            </w:pPr>
            <w:r w:rsidRPr="009D4684">
              <w:rPr>
                <w:b/>
                <w:bCs/>
              </w:rPr>
              <w:t>Ņemts vērā</w:t>
            </w:r>
          </w:p>
        </w:tc>
        <w:tc>
          <w:tcPr>
            <w:tcW w:w="1934" w:type="dxa"/>
            <w:tcBorders>
              <w:top w:val="single" w:sz="4" w:space="0" w:color="auto"/>
              <w:left w:val="single" w:sz="4" w:space="0" w:color="auto"/>
              <w:bottom w:val="single" w:sz="4" w:space="0" w:color="auto"/>
            </w:tcBorders>
          </w:tcPr>
          <w:p w14:paraId="0E84B94B" w14:textId="1677AF75" w:rsidR="003D4D50" w:rsidRPr="00712B66" w:rsidRDefault="003D4D50" w:rsidP="003D4D50">
            <w:pPr>
              <w:jc w:val="both"/>
            </w:pPr>
            <w:r>
              <w:t>Skat. Plāna projekta 2. pielikumu.</w:t>
            </w:r>
          </w:p>
        </w:tc>
      </w:tr>
      <w:tr w:rsidR="003D4D50" w:rsidRPr="00712B66" w14:paraId="220A0FD3" w14:textId="77777777" w:rsidTr="7E8539FD">
        <w:tc>
          <w:tcPr>
            <w:tcW w:w="673" w:type="dxa"/>
            <w:tcBorders>
              <w:left w:val="single" w:sz="6" w:space="0" w:color="000000" w:themeColor="text1"/>
              <w:bottom w:val="single" w:sz="4" w:space="0" w:color="auto"/>
              <w:right w:val="single" w:sz="6" w:space="0" w:color="000000" w:themeColor="text1"/>
            </w:tcBorders>
          </w:tcPr>
          <w:p w14:paraId="6BDA5525" w14:textId="4A0252A4" w:rsidR="003D4D50" w:rsidRDefault="00F76D07" w:rsidP="003D4D50">
            <w:pPr>
              <w:pStyle w:val="naisc"/>
              <w:spacing w:before="0" w:after="0"/>
            </w:pPr>
            <w:r>
              <w:t>39</w:t>
            </w:r>
            <w:r w:rsidR="003D4D50">
              <w:t>.</w:t>
            </w:r>
          </w:p>
        </w:tc>
        <w:tc>
          <w:tcPr>
            <w:tcW w:w="1835" w:type="dxa"/>
            <w:tcBorders>
              <w:left w:val="single" w:sz="6" w:space="0" w:color="000000" w:themeColor="text1"/>
              <w:bottom w:val="single" w:sz="4" w:space="0" w:color="auto"/>
              <w:right w:val="single" w:sz="6" w:space="0" w:color="000000" w:themeColor="text1"/>
            </w:tcBorders>
          </w:tcPr>
          <w:p w14:paraId="32014EDC" w14:textId="1FBA5727" w:rsidR="003D4D50" w:rsidRDefault="003D4D50" w:rsidP="003D4D50">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773B2B0E" w14:textId="77777777" w:rsidR="003D4D50" w:rsidRDefault="003D4D50" w:rsidP="003D4D50">
            <w:pPr>
              <w:pStyle w:val="naisc"/>
              <w:spacing w:before="0" w:after="0"/>
              <w:rPr>
                <w:b/>
              </w:rPr>
            </w:pPr>
            <w:r>
              <w:rPr>
                <w:b/>
              </w:rPr>
              <w:t>Vides aizsardzības un reģionālās attīstības ministrija</w:t>
            </w:r>
          </w:p>
          <w:p w14:paraId="33EFAFD3" w14:textId="77777777" w:rsidR="003D4D50" w:rsidRDefault="003D4D50" w:rsidP="003D4D50">
            <w:pPr>
              <w:pStyle w:val="naisc"/>
              <w:spacing w:before="0" w:after="0"/>
            </w:pPr>
            <w:r>
              <w:t>(11.01.2021. iebildums)</w:t>
            </w:r>
          </w:p>
          <w:p w14:paraId="0D38EF52" w14:textId="77777777" w:rsidR="003D4D50" w:rsidRDefault="003D4D50" w:rsidP="003D4D50">
            <w:pPr>
              <w:pStyle w:val="naisc"/>
              <w:spacing w:before="0" w:after="0"/>
              <w:rPr>
                <w:b/>
              </w:rPr>
            </w:pPr>
          </w:p>
          <w:p w14:paraId="5C41E312" w14:textId="77777777" w:rsidR="003D4D50" w:rsidRPr="00534060" w:rsidRDefault="003D4D50" w:rsidP="003D4D50">
            <w:pPr>
              <w:pStyle w:val="naisc"/>
              <w:spacing w:before="0" w:after="0"/>
              <w:jc w:val="both"/>
            </w:pPr>
            <w:r w:rsidRPr="00534060">
              <w:lastRenderedPageBreak/>
              <w:t xml:space="preserve">Lūdzam Plāna projekta 43. lpp., starp pasākumiem, kuri tiks  </w:t>
            </w:r>
            <w:r w:rsidRPr="00534060">
              <w:rPr>
                <w:bCs/>
              </w:rPr>
              <w:t xml:space="preserve">veidoti un attīstīti stratēģijas prioritāšu īstenošanai,  </w:t>
            </w:r>
            <w:r w:rsidRPr="00534060">
              <w:t>paredzēt sistemātisku mācību satura izveidi.</w:t>
            </w:r>
          </w:p>
        </w:tc>
        <w:tc>
          <w:tcPr>
            <w:tcW w:w="3427" w:type="dxa"/>
            <w:gridSpan w:val="2"/>
            <w:tcBorders>
              <w:left w:val="single" w:sz="6" w:space="0" w:color="000000" w:themeColor="text1"/>
              <w:bottom w:val="single" w:sz="4" w:space="0" w:color="auto"/>
              <w:right w:val="single" w:sz="6" w:space="0" w:color="000000" w:themeColor="text1"/>
            </w:tcBorders>
          </w:tcPr>
          <w:p w14:paraId="66B111EA" w14:textId="23DBDC13" w:rsidR="003D4D50" w:rsidRPr="00282BA6" w:rsidRDefault="003D4D50" w:rsidP="003D4D50">
            <w:pPr>
              <w:pStyle w:val="naisc"/>
              <w:spacing w:before="0" w:after="0"/>
              <w:jc w:val="both"/>
              <w:rPr>
                <w:b/>
                <w:bCs/>
                <w:highlight w:val="red"/>
              </w:rPr>
            </w:pPr>
            <w:r w:rsidRPr="00282BA6">
              <w:rPr>
                <w:b/>
                <w:bCs/>
              </w:rPr>
              <w:lastRenderedPageBreak/>
              <w:t>Ņemts vērā</w:t>
            </w:r>
          </w:p>
        </w:tc>
        <w:tc>
          <w:tcPr>
            <w:tcW w:w="1934" w:type="dxa"/>
            <w:tcBorders>
              <w:top w:val="single" w:sz="4" w:space="0" w:color="auto"/>
              <w:left w:val="single" w:sz="4" w:space="0" w:color="auto"/>
              <w:bottom w:val="single" w:sz="4" w:space="0" w:color="auto"/>
            </w:tcBorders>
          </w:tcPr>
          <w:p w14:paraId="320918D2" w14:textId="1FAF972C" w:rsidR="003D4D50" w:rsidRPr="00712B66" w:rsidRDefault="003D4D50" w:rsidP="003D4D50">
            <w:pPr>
              <w:jc w:val="both"/>
            </w:pPr>
            <w:r>
              <w:t>Skat. Plāna projekta 4.3. sadaļu.</w:t>
            </w:r>
          </w:p>
        </w:tc>
      </w:tr>
      <w:tr w:rsidR="003D4D50" w:rsidRPr="00712B66" w14:paraId="211626DC" w14:textId="77777777" w:rsidTr="7E8539FD">
        <w:tc>
          <w:tcPr>
            <w:tcW w:w="673" w:type="dxa"/>
            <w:tcBorders>
              <w:left w:val="single" w:sz="6" w:space="0" w:color="000000" w:themeColor="text1"/>
              <w:bottom w:val="single" w:sz="4" w:space="0" w:color="auto"/>
              <w:right w:val="single" w:sz="6" w:space="0" w:color="000000" w:themeColor="text1"/>
            </w:tcBorders>
          </w:tcPr>
          <w:p w14:paraId="770DDBD4" w14:textId="0698F18A" w:rsidR="003D4D50" w:rsidRDefault="00F76D07" w:rsidP="003D4D50">
            <w:pPr>
              <w:pStyle w:val="naisc"/>
              <w:spacing w:before="0" w:after="0"/>
            </w:pPr>
            <w:r>
              <w:t>40</w:t>
            </w:r>
            <w:r w:rsidR="003D4D50">
              <w:t>.</w:t>
            </w:r>
          </w:p>
        </w:tc>
        <w:tc>
          <w:tcPr>
            <w:tcW w:w="1835" w:type="dxa"/>
            <w:tcBorders>
              <w:left w:val="single" w:sz="6" w:space="0" w:color="000000" w:themeColor="text1"/>
              <w:bottom w:val="single" w:sz="4" w:space="0" w:color="auto"/>
              <w:right w:val="single" w:sz="6" w:space="0" w:color="000000" w:themeColor="text1"/>
            </w:tcBorders>
          </w:tcPr>
          <w:p w14:paraId="69B74D79" w14:textId="333BB44F" w:rsidR="003D4D50" w:rsidRDefault="003D4D50" w:rsidP="003D4D50">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382405BB" w14:textId="77777777" w:rsidR="003D4D50" w:rsidRDefault="003D4D50" w:rsidP="003D4D50">
            <w:pPr>
              <w:pStyle w:val="naisc"/>
              <w:spacing w:before="0" w:after="0"/>
              <w:rPr>
                <w:b/>
              </w:rPr>
            </w:pPr>
            <w:r>
              <w:rPr>
                <w:b/>
              </w:rPr>
              <w:t>Vides aizsardzības un reģionālās attīstības ministrija</w:t>
            </w:r>
          </w:p>
          <w:p w14:paraId="58FCAA8D" w14:textId="77777777" w:rsidR="003D4D50" w:rsidRDefault="003D4D50" w:rsidP="003D4D50">
            <w:pPr>
              <w:pStyle w:val="naisc"/>
              <w:spacing w:before="0" w:after="0"/>
            </w:pPr>
            <w:r>
              <w:t>(11.01.2021. iebildums)</w:t>
            </w:r>
          </w:p>
          <w:p w14:paraId="7027D855" w14:textId="77777777" w:rsidR="003D4D50" w:rsidRDefault="003D4D50" w:rsidP="003D4D50">
            <w:pPr>
              <w:pStyle w:val="naisc"/>
              <w:spacing w:before="0" w:after="0"/>
              <w:rPr>
                <w:b/>
              </w:rPr>
            </w:pPr>
          </w:p>
          <w:p w14:paraId="43A33169" w14:textId="77777777" w:rsidR="003D4D50" w:rsidRPr="00534060" w:rsidRDefault="003D4D50" w:rsidP="003D4D50">
            <w:pPr>
              <w:pStyle w:val="naisc"/>
              <w:spacing w:before="0" w:after="0"/>
              <w:jc w:val="both"/>
            </w:pPr>
            <w:r w:rsidRPr="00534060">
              <w:t>Ņemot vērā valsts pārvaldes iestāžu atšķirīgās finanšu resursu iespējas nodarbināto attīstībai, lūdzu Plāna projektā paredzēt risinājumu papildu finanšu līdzekļu pieejamībai iestādēm, lai varētu nodrošināt līdzekļus attīstībai 5% apmērā no atlīdzības budžeta, kā tas norādīts Plāna projekta 2. pielikumā, vai noteikt citu samērīgu rādītāju, kurš iestādei jāparedz mācībām līdz 2027. gadam.</w:t>
            </w:r>
          </w:p>
        </w:tc>
        <w:tc>
          <w:tcPr>
            <w:tcW w:w="3427" w:type="dxa"/>
            <w:gridSpan w:val="2"/>
            <w:tcBorders>
              <w:left w:val="single" w:sz="6" w:space="0" w:color="000000" w:themeColor="text1"/>
              <w:bottom w:val="single" w:sz="4" w:space="0" w:color="auto"/>
              <w:right w:val="single" w:sz="6" w:space="0" w:color="000000" w:themeColor="text1"/>
            </w:tcBorders>
          </w:tcPr>
          <w:p w14:paraId="23F7B871" w14:textId="110C18CC" w:rsidR="003D4D50" w:rsidRDefault="003D4D50" w:rsidP="003D4D50">
            <w:pPr>
              <w:pStyle w:val="naisc"/>
              <w:spacing w:before="0" w:after="0"/>
              <w:jc w:val="both"/>
              <w:rPr>
                <w:b/>
                <w:bCs/>
              </w:rPr>
            </w:pPr>
            <w:r>
              <w:rPr>
                <w:b/>
                <w:bCs/>
              </w:rPr>
              <w:t>Ņ</w:t>
            </w:r>
            <w:r w:rsidRPr="00891297">
              <w:rPr>
                <w:b/>
                <w:bCs/>
              </w:rPr>
              <w:t>emts vērā</w:t>
            </w:r>
          </w:p>
          <w:p w14:paraId="716B8FBB" w14:textId="77777777" w:rsidR="003D4D50" w:rsidRDefault="003D4D50" w:rsidP="003D4D50">
            <w:pPr>
              <w:pStyle w:val="naisc"/>
              <w:spacing w:before="0" w:after="0"/>
              <w:jc w:val="both"/>
              <w:rPr>
                <w:b/>
                <w:bCs/>
              </w:rPr>
            </w:pPr>
          </w:p>
          <w:p w14:paraId="66AB5EC9" w14:textId="1CC89032" w:rsidR="003D4D50" w:rsidRPr="00712B66" w:rsidRDefault="003D4D50" w:rsidP="003D4D50">
            <w:pPr>
              <w:pStyle w:val="naisc"/>
              <w:spacing w:before="0" w:after="0"/>
              <w:jc w:val="both"/>
            </w:pPr>
            <w:r>
              <w:t>Plāna projektā ir precizēts noteiktais procentuālais lielums, kas būtu paredzams nodarbināto attīstībai ilgtermiņā.</w:t>
            </w:r>
          </w:p>
        </w:tc>
        <w:tc>
          <w:tcPr>
            <w:tcW w:w="1934" w:type="dxa"/>
            <w:tcBorders>
              <w:top w:val="single" w:sz="4" w:space="0" w:color="auto"/>
              <w:left w:val="single" w:sz="4" w:space="0" w:color="auto"/>
              <w:bottom w:val="single" w:sz="4" w:space="0" w:color="auto"/>
            </w:tcBorders>
          </w:tcPr>
          <w:p w14:paraId="57603676" w14:textId="4997CE96" w:rsidR="003D4D50" w:rsidRPr="00712B66" w:rsidRDefault="003D4D50" w:rsidP="003D4D50">
            <w:pPr>
              <w:jc w:val="both"/>
            </w:pPr>
            <w:r>
              <w:t>Skat. Plāna projekta 3. pielikumu.</w:t>
            </w:r>
          </w:p>
        </w:tc>
      </w:tr>
      <w:tr w:rsidR="003D4D50" w:rsidRPr="00712B66" w14:paraId="53F5D1D1" w14:textId="77777777" w:rsidTr="7E8539FD">
        <w:tc>
          <w:tcPr>
            <w:tcW w:w="673" w:type="dxa"/>
            <w:tcBorders>
              <w:left w:val="single" w:sz="6" w:space="0" w:color="000000" w:themeColor="text1"/>
              <w:bottom w:val="single" w:sz="4" w:space="0" w:color="auto"/>
              <w:right w:val="single" w:sz="6" w:space="0" w:color="000000" w:themeColor="text1"/>
            </w:tcBorders>
          </w:tcPr>
          <w:p w14:paraId="69DD7F2A" w14:textId="4FB59EFA" w:rsidR="003D4D50" w:rsidRDefault="00F76D07" w:rsidP="003D4D50">
            <w:pPr>
              <w:pStyle w:val="naisc"/>
              <w:spacing w:before="0" w:after="0"/>
            </w:pPr>
            <w:r>
              <w:t>41</w:t>
            </w:r>
            <w:r w:rsidR="003D4D50">
              <w:t>.</w:t>
            </w:r>
          </w:p>
        </w:tc>
        <w:tc>
          <w:tcPr>
            <w:tcW w:w="1835" w:type="dxa"/>
            <w:tcBorders>
              <w:left w:val="single" w:sz="6" w:space="0" w:color="000000" w:themeColor="text1"/>
              <w:bottom w:val="single" w:sz="4" w:space="0" w:color="auto"/>
              <w:right w:val="single" w:sz="6" w:space="0" w:color="000000" w:themeColor="text1"/>
            </w:tcBorders>
          </w:tcPr>
          <w:p w14:paraId="716465C4" w14:textId="46DFC490" w:rsidR="003D4D50" w:rsidRDefault="003D4D50" w:rsidP="003D4D50">
            <w:pPr>
              <w:pStyle w:val="naisc"/>
              <w:spacing w:before="0" w:after="0"/>
              <w:jc w:val="both"/>
            </w:pPr>
            <w:r>
              <w:t>Skat. Plāna projekta 3.5. sadaļu.</w:t>
            </w:r>
          </w:p>
        </w:tc>
        <w:tc>
          <w:tcPr>
            <w:tcW w:w="7123" w:type="dxa"/>
            <w:gridSpan w:val="2"/>
            <w:tcBorders>
              <w:left w:val="single" w:sz="6" w:space="0" w:color="000000" w:themeColor="text1"/>
              <w:bottom w:val="single" w:sz="4" w:space="0" w:color="auto"/>
              <w:right w:val="single" w:sz="6" w:space="0" w:color="000000" w:themeColor="text1"/>
            </w:tcBorders>
          </w:tcPr>
          <w:p w14:paraId="33A1058B" w14:textId="77777777" w:rsidR="003D4D50" w:rsidRDefault="003D4D50" w:rsidP="003D4D50">
            <w:pPr>
              <w:pStyle w:val="naisc"/>
              <w:spacing w:before="0" w:after="0"/>
              <w:rPr>
                <w:b/>
              </w:rPr>
            </w:pPr>
            <w:r>
              <w:rPr>
                <w:b/>
              </w:rPr>
              <w:t>Vides aizsardzības un reģionālās attīstības ministrija</w:t>
            </w:r>
          </w:p>
          <w:p w14:paraId="435E6A5B" w14:textId="77777777" w:rsidR="003D4D50" w:rsidRDefault="003D4D50" w:rsidP="003D4D50">
            <w:pPr>
              <w:pStyle w:val="naisc"/>
              <w:spacing w:before="0" w:after="0"/>
            </w:pPr>
            <w:r>
              <w:t>(11.01.2021. iebildums)</w:t>
            </w:r>
          </w:p>
          <w:p w14:paraId="1822FC21" w14:textId="77777777" w:rsidR="003D4D50" w:rsidRDefault="003D4D50" w:rsidP="003D4D50">
            <w:pPr>
              <w:pStyle w:val="naisc"/>
              <w:spacing w:before="0" w:after="0"/>
              <w:rPr>
                <w:b/>
              </w:rPr>
            </w:pPr>
          </w:p>
          <w:p w14:paraId="112F3404" w14:textId="77777777" w:rsidR="003D4D50" w:rsidRPr="00534060" w:rsidRDefault="003D4D50" w:rsidP="003D4D50">
            <w:pPr>
              <w:pStyle w:val="naisc"/>
              <w:spacing w:before="0" w:after="0"/>
              <w:jc w:val="both"/>
            </w:pPr>
            <w:r w:rsidRPr="00534060">
              <w:t>Lūdzu papildināt Plāna projekta 3.5. sadaļu “Cilvēkresursu profesionalizācija un administratīvās kapacitātes celšana”  ar iestāžu specializēto mācību lomu stratēģijas prioritārajos virzienos. Uzskatām, ka Valsts administrācijas skolai būtu jānodrošina horizontālo mācību iespējas, piemēram, mācību kursi iepirkumu speciālistiem, bet iestāžu kompetencē jāsaglabā iespēja organizēt  specializētās mācības  saskaņā  ar iestādes darbības jomām. Piemēram, Valsts vides dienestam par tādām mācību tēmām kā putekļu un smaku monitoringa iekārtu un  datu interpretācija, no projekta finansētas mācības rūpniecisko avāriju risku objektu pārvaldībā, ķīmisko vielas un maisījumi, aukstuma aģenti, sadedzināšanas iekārtas, radiācijas drošības jautājumiem. Būtu nepieciešam skaidrot arī  Plāna projekta 2.pielikumā noteiktā 5% budžeta sadalījumu starp iestādes specializētajām mācībām un Plāna projektā norādītajiem mācību virzieniem.</w:t>
            </w:r>
          </w:p>
        </w:tc>
        <w:tc>
          <w:tcPr>
            <w:tcW w:w="3427" w:type="dxa"/>
            <w:gridSpan w:val="2"/>
            <w:tcBorders>
              <w:left w:val="single" w:sz="6" w:space="0" w:color="000000" w:themeColor="text1"/>
              <w:bottom w:val="single" w:sz="4" w:space="0" w:color="auto"/>
              <w:right w:val="single" w:sz="6" w:space="0" w:color="000000" w:themeColor="text1"/>
            </w:tcBorders>
          </w:tcPr>
          <w:p w14:paraId="5AEB2F81" w14:textId="63FFE3D7" w:rsidR="003D4D50" w:rsidRPr="00F03021" w:rsidRDefault="003D4D50" w:rsidP="003D4D50">
            <w:pPr>
              <w:pStyle w:val="naisc"/>
              <w:spacing w:before="0" w:after="0"/>
              <w:jc w:val="both"/>
              <w:rPr>
                <w:b/>
                <w:bCs/>
              </w:rPr>
            </w:pPr>
            <w:r w:rsidRPr="00F03021">
              <w:rPr>
                <w:b/>
                <w:bCs/>
              </w:rPr>
              <w:t>Ņemts vērā</w:t>
            </w:r>
          </w:p>
        </w:tc>
        <w:tc>
          <w:tcPr>
            <w:tcW w:w="1934" w:type="dxa"/>
            <w:tcBorders>
              <w:top w:val="single" w:sz="4" w:space="0" w:color="auto"/>
              <w:left w:val="single" w:sz="4" w:space="0" w:color="auto"/>
              <w:bottom w:val="single" w:sz="4" w:space="0" w:color="auto"/>
            </w:tcBorders>
          </w:tcPr>
          <w:p w14:paraId="0B8A4E98" w14:textId="2F4097B1" w:rsidR="003D4D50" w:rsidRPr="00712B66" w:rsidRDefault="003D4D50" w:rsidP="003D4D50">
            <w:pPr>
              <w:jc w:val="both"/>
            </w:pPr>
            <w:r>
              <w:t>Skat. Plāna projekta 4.2. sadaļu.</w:t>
            </w:r>
          </w:p>
        </w:tc>
      </w:tr>
      <w:tr w:rsidR="003D4D50" w:rsidRPr="00712B66" w14:paraId="5A15E6B8" w14:textId="77777777" w:rsidTr="7E8539FD">
        <w:tc>
          <w:tcPr>
            <w:tcW w:w="673" w:type="dxa"/>
            <w:tcBorders>
              <w:left w:val="single" w:sz="6" w:space="0" w:color="000000" w:themeColor="text1"/>
              <w:bottom w:val="single" w:sz="4" w:space="0" w:color="auto"/>
              <w:right w:val="single" w:sz="6" w:space="0" w:color="000000" w:themeColor="text1"/>
            </w:tcBorders>
          </w:tcPr>
          <w:p w14:paraId="187F2C66" w14:textId="12D1AECE" w:rsidR="003D4D50" w:rsidRDefault="00F76D07" w:rsidP="003D4D50">
            <w:pPr>
              <w:pStyle w:val="naisc"/>
              <w:spacing w:before="0" w:after="0"/>
            </w:pPr>
            <w:r>
              <w:t>42</w:t>
            </w:r>
            <w:r w:rsidR="003D4D50">
              <w:t>.</w:t>
            </w:r>
          </w:p>
        </w:tc>
        <w:tc>
          <w:tcPr>
            <w:tcW w:w="1835" w:type="dxa"/>
            <w:tcBorders>
              <w:left w:val="single" w:sz="6" w:space="0" w:color="000000" w:themeColor="text1"/>
              <w:bottom w:val="single" w:sz="4" w:space="0" w:color="auto"/>
              <w:right w:val="single" w:sz="6" w:space="0" w:color="000000" w:themeColor="text1"/>
            </w:tcBorders>
          </w:tcPr>
          <w:p w14:paraId="61D706FD" w14:textId="669F55D1" w:rsidR="003D4D50" w:rsidRDefault="003D4D50" w:rsidP="003D4D50">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1134121F" w14:textId="77777777" w:rsidR="003D4D50" w:rsidRDefault="003D4D50" w:rsidP="003D4D50">
            <w:pPr>
              <w:pStyle w:val="naisc"/>
              <w:spacing w:before="0" w:after="0"/>
              <w:rPr>
                <w:b/>
              </w:rPr>
            </w:pPr>
            <w:r>
              <w:rPr>
                <w:b/>
              </w:rPr>
              <w:t>Vides aizsardzības un reģionālās attīstības ministrija</w:t>
            </w:r>
          </w:p>
          <w:p w14:paraId="15A7EC8E" w14:textId="77777777" w:rsidR="003D4D50" w:rsidRDefault="003D4D50" w:rsidP="003D4D50">
            <w:pPr>
              <w:pStyle w:val="naisc"/>
              <w:spacing w:before="0" w:after="0"/>
            </w:pPr>
            <w:r>
              <w:t>(11.01.2021. iebildums)</w:t>
            </w:r>
          </w:p>
          <w:p w14:paraId="662ACD63" w14:textId="77777777" w:rsidR="003D4D50" w:rsidRDefault="003D4D50" w:rsidP="003D4D50">
            <w:pPr>
              <w:pStyle w:val="naisc"/>
              <w:spacing w:before="0" w:after="0"/>
              <w:rPr>
                <w:b/>
              </w:rPr>
            </w:pPr>
          </w:p>
          <w:p w14:paraId="13164BF3" w14:textId="77777777" w:rsidR="003D4D50" w:rsidRPr="00534060" w:rsidRDefault="003D4D50" w:rsidP="003D4D50">
            <w:pPr>
              <w:pStyle w:val="naisc"/>
              <w:spacing w:before="0" w:after="0"/>
              <w:jc w:val="both"/>
            </w:pPr>
            <w:r w:rsidRPr="00534060">
              <w:lastRenderedPageBreak/>
              <w:t>Lūdzu papildināt Plāna projektu ar redzējumu par Valsts administrācijas skolas administrētās MPS sistēmas attīstību, kurā tiek pašlaik vadīti mācību dalībnieki. Kā arī papildināt ar informāciju, vai šajā sistēmā būs pieejami mācību un semināru materiāli, kā tiks nodrošināta zināšanu pārnese, kā ir plānots samazināt datu dublēšanas risku, jo pašlaik iestādes informāciju par nodarbināto kvalifikācijas celšanu ievada un uzkrāj  iestādes Resursu vadības sistēmās, kas ir viens no avotiem turpmāko mācību vajadzību analizēšanai iestādē.</w:t>
            </w:r>
          </w:p>
        </w:tc>
        <w:tc>
          <w:tcPr>
            <w:tcW w:w="3427" w:type="dxa"/>
            <w:gridSpan w:val="2"/>
            <w:tcBorders>
              <w:left w:val="single" w:sz="6" w:space="0" w:color="000000" w:themeColor="text1"/>
              <w:bottom w:val="single" w:sz="4" w:space="0" w:color="auto"/>
              <w:right w:val="single" w:sz="6" w:space="0" w:color="000000" w:themeColor="text1"/>
            </w:tcBorders>
          </w:tcPr>
          <w:p w14:paraId="596C5BDA" w14:textId="3E1C5E88" w:rsidR="003D4D50" w:rsidRPr="00282BA6" w:rsidRDefault="003D4D50" w:rsidP="003D4D50">
            <w:pPr>
              <w:pStyle w:val="naisc"/>
              <w:spacing w:before="0" w:after="0"/>
              <w:jc w:val="both"/>
              <w:rPr>
                <w:b/>
                <w:bCs/>
              </w:rPr>
            </w:pPr>
            <w:r w:rsidRPr="00282BA6">
              <w:rPr>
                <w:b/>
                <w:bCs/>
              </w:rPr>
              <w:lastRenderedPageBreak/>
              <w:t>Ņemts vērā</w:t>
            </w:r>
          </w:p>
        </w:tc>
        <w:tc>
          <w:tcPr>
            <w:tcW w:w="1934" w:type="dxa"/>
            <w:tcBorders>
              <w:top w:val="single" w:sz="4" w:space="0" w:color="auto"/>
              <w:left w:val="single" w:sz="4" w:space="0" w:color="auto"/>
              <w:bottom w:val="single" w:sz="4" w:space="0" w:color="auto"/>
            </w:tcBorders>
          </w:tcPr>
          <w:p w14:paraId="2D0CAB57" w14:textId="3A4A605F" w:rsidR="003D4D50" w:rsidRPr="00712B66" w:rsidRDefault="003D4D50" w:rsidP="003D4D50">
            <w:pPr>
              <w:jc w:val="both"/>
            </w:pPr>
            <w:r>
              <w:t>Skat. Plāna projekta 2.3. sadaļu.</w:t>
            </w:r>
          </w:p>
        </w:tc>
      </w:tr>
      <w:tr w:rsidR="003D4D50" w:rsidRPr="00712B66" w14:paraId="78B57891" w14:textId="77777777" w:rsidTr="7E8539FD">
        <w:tc>
          <w:tcPr>
            <w:tcW w:w="673" w:type="dxa"/>
            <w:tcBorders>
              <w:left w:val="single" w:sz="6" w:space="0" w:color="000000" w:themeColor="text1"/>
              <w:bottom w:val="single" w:sz="4" w:space="0" w:color="auto"/>
              <w:right w:val="single" w:sz="6" w:space="0" w:color="000000" w:themeColor="text1"/>
            </w:tcBorders>
          </w:tcPr>
          <w:p w14:paraId="6C14F51A" w14:textId="112BC8D4" w:rsidR="003D4D50" w:rsidRDefault="00F76D07" w:rsidP="003D4D50">
            <w:pPr>
              <w:pStyle w:val="naisc"/>
              <w:spacing w:before="0" w:after="0"/>
            </w:pPr>
            <w:r>
              <w:t>43.</w:t>
            </w:r>
          </w:p>
        </w:tc>
        <w:tc>
          <w:tcPr>
            <w:tcW w:w="1835" w:type="dxa"/>
            <w:tcBorders>
              <w:left w:val="single" w:sz="6" w:space="0" w:color="000000" w:themeColor="text1"/>
              <w:bottom w:val="single" w:sz="4" w:space="0" w:color="auto"/>
              <w:right w:val="single" w:sz="6" w:space="0" w:color="000000" w:themeColor="text1"/>
            </w:tcBorders>
          </w:tcPr>
          <w:p w14:paraId="7B0BD0C4" w14:textId="5D7C5367" w:rsidR="003D4D50" w:rsidRDefault="003D4D50" w:rsidP="003D4D50">
            <w:pPr>
              <w:pStyle w:val="naisc"/>
              <w:spacing w:before="0" w:after="0"/>
              <w:jc w:val="both"/>
            </w:pPr>
            <w:r>
              <w:t>Skat. Plāna projekta 3.1. sadaļu.</w:t>
            </w:r>
          </w:p>
        </w:tc>
        <w:tc>
          <w:tcPr>
            <w:tcW w:w="7123" w:type="dxa"/>
            <w:gridSpan w:val="2"/>
            <w:tcBorders>
              <w:left w:val="single" w:sz="6" w:space="0" w:color="000000" w:themeColor="text1"/>
              <w:bottom w:val="single" w:sz="4" w:space="0" w:color="auto"/>
              <w:right w:val="single" w:sz="6" w:space="0" w:color="000000" w:themeColor="text1"/>
            </w:tcBorders>
          </w:tcPr>
          <w:p w14:paraId="059870EF" w14:textId="77777777" w:rsidR="003D4D50" w:rsidRDefault="003D4D50" w:rsidP="003D4D50">
            <w:pPr>
              <w:pStyle w:val="naisc"/>
              <w:spacing w:before="0" w:after="0"/>
              <w:rPr>
                <w:b/>
              </w:rPr>
            </w:pPr>
            <w:r>
              <w:rPr>
                <w:b/>
              </w:rPr>
              <w:t>Vides aizsardzības un reģionālās attīstības ministrija</w:t>
            </w:r>
          </w:p>
          <w:p w14:paraId="4431447C" w14:textId="77777777" w:rsidR="003D4D50" w:rsidRDefault="003D4D50" w:rsidP="003D4D50">
            <w:pPr>
              <w:pStyle w:val="naisc"/>
              <w:spacing w:before="0" w:after="0"/>
            </w:pPr>
            <w:r>
              <w:t>(11.01.2021. iebildums)</w:t>
            </w:r>
          </w:p>
          <w:p w14:paraId="311D23B6" w14:textId="77777777" w:rsidR="003D4D50" w:rsidRDefault="003D4D50" w:rsidP="003D4D50">
            <w:pPr>
              <w:pStyle w:val="naisc"/>
              <w:spacing w:before="0" w:after="0"/>
              <w:rPr>
                <w:b/>
              </w:rPr>
            </w:pPr>
          </w:p>
          <w:p w14:paraId="0F54E5D1" w14:textId="45EFCEB7" w:rsidR="003D4D50" w:rsidRDefault="003D4D50" w:rsidP="003D4D50">
            <w:pPr>
              <w:pStyle w:val="naisc"/>
              <w:spacing w:before="0" w:after="0"/>
              <w:jc w:val="both"/>
              <w:rPr>
                <w:b/>
              </w:rPr>
            </w:pPr>
            <w:r w:rsidRPr="00534060">
              <w:t xml:space="preserve">Lūdzam Plāna projekta 3.1. sadaļas  “Godprātīgs darbs publiskajā pārvaldē” 21. lpp aizstāt vārdus “valsts dienests” ar vārdiem “valsts pārvalde” un līdzīgi  27. lpp. </w:t>
            </w:r>
          </w:p>
        </w:tc>
        <w:tc>
          <w:tcPr>
            <w:tcW w:w="3427" w:type="dxa"/>
            <w:gridSpan w:val="2"/>
            <w:tcBorders>
              <w:left w:val="single" w:sz="6" w:space="0" w:color="000000" w:themeColor="text1"/>
              <w:bottom w:val="single" w:sz="4" w:space="0" w:color="auto"/>
              <w:right w:val="single" w:sz="6" w:space="0" w:color="000000" w:themeColor="text1"/>
            </w:tcBorders>
          </w:tcPr>
          <w:p w14:paraId="23ADF9B2" w14:textId="790F51F7" w:rsidR="00655475" w:rsidRPr="00655475" w:rsidRDefault="003D4D50" w:rsidP="00655475">
            <w:pPr>
              <w:jc w:val="both"/>
              <w:rPr>
                <w:b/>
                <w:bCs/>
              </w:rPr>
            </w:pPr>
            <w:r w:rsidRPr="00655475">
              <w:rPr>
                <w:b/>
              </w:rPr>
              <w:t>Uzskatāms par saskaņotu elektroniskās saskaņošanas laikā</w:t>
            </w:r>
          </w:p>
          <w:p w14:paraId="47014B15" w14:textId="39E87B0C" w:rsidR="003D4D50" w:rsidRPr="00282BA6" w:rsidRDefault="003D4D50" w:rsidP="003D4D50">
            <w:pPr>
              <w:pStyle w:val="naisc"/>
              <w:spacing w:before="0" w:after="0"/>
              <w:jc w:val="both"/>
              <w:rPr>
                <w:b/>
                <w:bCs/>
              </w:rPr>
            </w:pPr>
          </w:p>
        </w:tc>
        <w:tc>
          <w:tcPr>
            <w:tcW w:w="1934" w:type="dxa"/>
            <w:tcBorders>
              <w:top w:val="single" w:sz="4" w:space="0" w:color="auto"/>
              <w:left w:val="single" w:sz="4" w:space="0" w:color="auto"/>
              <w:bottom w:val="single" w:sz="4" w:space="0" w:color="auto"/>
            </w:tcBorders>
          </w:tcPr>
          <w:p w14:paraId="17AA3B66" w14:textId="1DA2BC6B" w:rsidR="003D4D50" w:rsidRDefault="003D4D50" w:rsidP="003D4D50">
            <w:pPr>
              <w:jc w:val="both"/>
            </w:pPr>
            <w:r>
              <w:t>Skat. Plāna projekta 3.1. sadaļu.</w:t>
            </w:r>
          </w:p>
        </w:tc>
      </w:tr>
      <w:tr w:rsidR="003D4D50" w:rsidRPr="00712B66" w14:paraId="251EBB37" w14:textId="77777777" w:rsidTr="7E8539FD">
        <w:tc>
          <w:tcPr>
            <w:tcW w:w="673" w:type="dxa"/>
            <w:tcBorders>
              <w:left w:val="single" w:sz="6" w:space="0" w:color="000000" w:themeColor="text1"/>
              <w:bottom w:val="single" w:sz="4" w:space="0" w:color="auto"/>
              <w:right w:val="single" w:sz="6" w:space="0" w:color="000000" w:themeColor="text1"/>
            </w:tcBorders>
          </w:tcPr>
          <w:p w14:paraId="42ABA367" w14:textId="57C439DA" w:rsidR="003D4D50" w:rsidRDefault="00F76D07" w:rsidP="003D4D50">
            <w:pPr>
              <w:pStyle w:val="naisc"/>
              <w:spacing w:before="0" w:after="0"/>
            </w:pPr>
            <w:r>
              <w:t>44.</w:t>
            </w:r>
          </w:p>
        </w:tc>
        <w:tc>
          <w:tcPr>
            <w:tcW w:w="1835" w:type="dxa"/>
            <w:tcBorders>
              <w:left w:val="single" w:sz="6" w:space="0" w:color="000000" w:themeColor="text1"/>
              <w:bottom w:val="single" w:sz="4" w:space="0" w:color="auto"/>
              <w:right w:val="single" w:sz="6" w:space="0" w:color="000000" w:themeColor="text1"/>
            </w:tcBorders>
          </w:tcPr>
          <w:p w14:paraId="4DA8802E" w14:textId="30A2D521" w:rsidR="003D4D50" w:rsidRDefault="003D4D50" w:rsidP="003D4D50">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71D7221C" w14:textId="77777777" w:rsidR="003D4D50" w:rsidRDefault="003D4D50" w:rsidP="003D4D50">
            <w:pPr>
              <w:pStyle w:val="naisc"/>
              <w:spacing w:before="0" w:after="0"/>
              <w:rPr>
                <w:b/>
              </w:rPr>
            </w:pPr>
            <w:r>
              <w:rPr>
                <w:b/>
              </w:rPr>
              <w:t>Vides aizsardzības un reģionālās attīstības ministrija</w:t>
            </w:r>
          </w:p>
          <w:p w14:paraId="6544852E" w14:textId="77777777" w:rsidR="003D4D50" w:rsidRDefault="003D4D50" w:rsidP="003D4D50">
            <w:pPr>
              <w:pStyle w:val="naisc"/>
              <w:spacing w:before="0" w:after="0"/>
            </w:pPr>
            <w:r>
              <w:t>(11.01.2021. iebildums)</w:t>
            </w:r>
          </w:p>
          <w:p w14:paraId="10B61D0A" w14:textId="77777777" w:rsidR="003D4D50" w:rsidRDefault="003D4D50" w:rsidP="003D4D50">
            <w:pPr>
              <w:pStyle w:val="naisc"/>
              <w:spacing w:before="0" w:after="0"/>
              <w:rPr>
                <w:b/>
              </w:rPr>
            </w:pPr>
          </w:p>
          <w:p w14:paraId="3584CE9E" w14:textId="77777777" w:rsidR="003D4D50" w:rsidRPr="00534060" w:rsidRDefault="003D4D50" w:rsidP="003D4D50">
            <w:pPr>
              <w:pStyle w:val="naisc"/>
              <w:spacing w:before="0" w:after="0"/>
              <w:jc w:val="both"/>
            </w:pPr>
            <w:r w:rsidRPr="00534060">
              <w:t>Lūdzam precizēt Plāna projekta stratēģisko prioritāšu tabulas, norādot:</w:t>
            </w:r>
          </w:p>
          <w:p w14:paraId="42F74FE6" w14:textId="77777777" w:rsidR="003D4D50" w:rsidRPr="00534060" w:rsidRDefault="003D4D50" w:rsidP="003D4D50">
            <w:pPr>
              <w:pStyle w:val="naisc"/>
              <w:spacing w:before="0" w:after="0"/>
              <w:jc w:val="both"/>
            </w:pPr>
            <w:r w:rsidRPr="00534060">
              <w:t>12.1. atbildīgās un līdzatbildīgās iestādes pie katra darbības rezultāta (šo lūdzam integrēt visās līdzīgajās tabulās);</w:t>
            </w:r>
          </w:p>
          <w:p w14:paraId="544A55C7" w14:textId="24C115DB" w:rsidR="003D4D50" w:rsidRDefault="003D4D50" w:rsidP="003D4D50">
            <w:pPr>
              <w:pStyle w:val="naisc"/>
              <w:spacing w:before="0" w:after="0"/>
              <w:jc w:val="both"/>
              <w:rPr>
                <w:b/>
              </w:rPr>
            </w:pPr>
            <w:r w:rsidRPr="00534060">
              <w:t>12.2. mērāmus rezultatīvos rādītājus ar kuru palīdzību iestādes varēs sekot līdzi izpildes progresam, sākotnēji norādot rādītāja bāzes gada</w:t>
            </w:r>
            <w:r>
              <w:t xml:space="preserve"> vērtību, kur tas ir iespējams</w:t>
            </w:r>
            <w:r w:rsidRPr="00534060">
              <w:t>.</w:t>
            </w:r>
          </w:p>
        </w:tc>
        <w:tc>
          <w:tcPr>
            <w:tcW w:w="3427" w:type="dxa"/>
            <w:gridSpan w:val="2"/>
            <w:tcBorders>
              <w:left w:val="single" w:sz="6" w:space="0" w:color="000000" w:themeColor="text1"/>
              <w:bottom w:val="single" w:sz="4" w:space="0" w:color="auto"/>
              <w:right w:val="single" w:sz="6" w:space="0" w:color="000000" w:themeColor="text1"/>
            </w:tcBorders>
          </w:tcPr>
          <w:p w14:paraId="42C990CE" w14:textId="0AE2CD3E" w:rsidR="003D4D50" w:rsidRPr="00655475" w:rsidRDefault="003D4D50" w:rsidP="00655475">
            <w:pPr>
              <w:jc w:val="both"/>
              <w:rPr>
                <w:b/>
              </w:rPr>
            </w:pPr>
            <w:r w:rsidRPr="00655475">
              <w:rPr>
                <w:b/>
              </w:rPr>
              <w:t>Uzskatāms par saskaņotu e</w:t>
            </w:r>
            <w:r w:rsidR="00655475">
              <w:rPr>
                <w:b/>
              </w:rPr>
              <w:t>lektroniskās saskaņošanas laikā</w:t>
            </w:r>
          </w:p>
        </w:tc>
        <w:tc>
          <w:tcPr>
            <w:tcW w:w="1934" w:type="dxa"/>
            <w:tcBorders>
              <w:top w:val="single" w:sz="4" w:space="0" w:color="auto"/>
              <w:left w:val="single" w:sz="4" w:space="0" w:color="auto"/>
              <w:bottom w:val="single" w:sz="4" w:space="0" w:color="auto"/>
            </w:tcBorders>
          </w:tcPr>
          <w:p w14:paraId="49C4FCB0" w14:textId="1F20B5B9" w:rsidR="003D4D50" w:rsidRDefault="003D4D50" w:rsidP="003D4D50">
            <w:pPr>
              <w:jc w:val="both"/>
            </w:pPr>
            <w:r>
              <w:t>Skat. Plāna projekta 2. pielikumu.</w:t>
            </w:r>
          </w:p>
        </w:tc>
      </w:tr>
      <w:tr w:rsidR="003D4D50" w:rsidRPr="00712B66" w14:paraId="3AF7EF80" w14:textId="77777777" w:rsidTr="7E8539FD">
        <w:tc>
          <w:tcPr>
            <w:tcW w:w="673" w:type="dxa"/>
            <w:tcBorders>
              <w:left w:val="single" w:sz="6" w:space="0" w:color="000000" w:themeColor="text1"/>
              <w:bottom w:val="single" w:sz="4" w:space="0" w:color="auto"/>
              <w:right w:val="single" w:sz="6" w:space="0" w:color="000000" w:themeColor="text1"/>
            </w:tcBorders>
          </w:tcPr>
          <w:p w14:paraId="7295B47A" w14:textId="0EEC19D5" w:rsidR="003D4D50" w:rsidRDefault="00F76D07" w:rsidP="003D4D50">
            <w:pPr>
              <w:pStyle w:val="naisc"/>
              <w:spacing w:before="0" w:after="0"/>
            </w:pPr>
            <w:r>
              <w:t>45</w:t>
            </w:r>
            <w:r w:rsidR="003D4D50">
              <w:t>.</w:t>
            </w:r>
          </w:p>
        </w:tc>
        <w:tc>
          <w:tcPr>
            <w:tcW w:w="1835" w:type="dxa"/>
            <w:tcBorders>
              <w:left w:val="single" w:sz="6" w:space="0" w:color="000000" w:themeColor="text1"/>
              <w:bottom w:val="single" w:sz="4" w:space="0" w:color="auto"/>
              <w:right w:val="single" w:sz="6" w:space="0" w:color="000000" w:themeColor="text1"/>
            </w:tcBorders>
          </w:tcPr>
          <w:p w14:paraId="7439918C" w14:textId="7F88D186" w:rsidR="003D4D50" w:rsidRDefault="003D4D50" w:rsidP="003D4D50">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715CBACF" w14:textId="77777777" w:rsidR="003D4D50" w:rsidRDefault="003D4D50" w:rsidP="003D4D50">
            <w:pPr>
              <w:pStyle w:val="naisc"/>
              <w:spacing w:before="0" w:after="0"/>
              <w:rPr>
                <w:b/>
              </w:rPr>
            </w:pPr>
            <w:r>
              <w:rPr>
                <w:b/>
              </w:rPr>
              <w:t>Pārresoru koordinācijas centrs</w:t>
            </w:r>
          </w:p>
          <w:p w14:paraId="0D779036" w14:textId="77777777" w:rsidR="003D4D50" w:rsidRDefault="003D4D50" w:rsidP="003D4D50">
            <w:pPr>
              <w:pStyle w:val="naisc"/>
              <w:spacing w:before="0" w:after="0"/>
            </w:pPr>
            <w:r>
              <w:t>(12.01.2021. iebildums)</w:t>
            </w:r>
          </w:p>
          <w:p w14:paraId="3EE42895" w14:textId="77777777" w:rsidR="003D4D50" w:rsidRDefault="003D4D50" w:rsidP="003D4D50">
            <w:pPr>
              <w:pStyle w:val="naisc"/>
              <w:spacing w:before="0" w:after="0"/>
              <w:rPr>
                <w:b/>
              </w:rPr>
            </w:pPr>
          </w:p>
          <w:p w14:paraId="5F9190FB" w14:textId="04A5B563" w:rsidR="003D4D50" w:rsidRPr="0057685D" w:rsidRDefault="003D4D50" w:rsidP="003D4D50">
            <w:pPr>
              <w:pStyle w:val="ListParagraph"/>
              <w:tabs>
                <w:tab w:val="left" w:pos="993"/>
              </w:tabs>
              <w:spacing w:after="0" w:line="240" w:lineRule="auto"/>
              <w:ind w:left="0"/>
              <w:contextualSpacing w:val="0"/>
              <w:jc w:val="both"/>
              <w:rPr>
                <w:rFonts w:ascii="Times New Roman" w:hAnsi="Times New Roman"/>
                <w:sz w:val="24"/>
                <w:szCs w:val="24"/>
              </w:rPr>
            </w:pPr>
            <w:r w:rsidRPr="0057685D">
              <w:rPr>
                <w:rFonts w:ascii="Times New Roman" w:hAnsi="Times New Roman"/>
                <w:sz w:val="24"/>
                <w:szCs w:val="24"/>
              </w:rPr>
              <w:t>Lūdzam izvērtēt iespēju precizēt projektu, ietverot tādus politikas mērķu rezultatīvos rādītājus, par kuriem tiek veidota regulāra statistika, kurus ir iespējams kvantitatīvi izmērīt un līdz ar to objektīvi novērtēt politikas ieviešanas un mērķu sasniegšanas progresu. Pašlaik par šiem kritērijiem atbilstošu no piedāvātajiem rezultatīvajiem rādītājiem var uzskatīt tikai projektā ietverto Korupcijas uztveres indeksu, bet pārējo projektā ietverto rezultatīvo rādītāju datu ieguve nav izskaidrota.</w:t>
            </w:r>
          </w:p>
        </w:tc>
        <w:tc>
          <w:tcPr>
            <w:tcW w:w="3427" w:type="dxa"/>
            <w:gridSpan w:val="2"/>
            <w:tcBorders>
              <w:left w:val="single" w:sz="6" w:space="0" w:color="000000" w:themeColor="text1"/>
              <w:bottom w:val="single" w:sz="4" w:space="0" w:color="auto"/>
              <w:right w:val="single" w:sz="6" w:space="0" w:color="000000" w:themeColor="text1"/>
            </w:tcBorders>
          </w:tcPr>
          <w:p w14:paraId="6B10ADD0" w14:textId="2C3DDD81" w:rsidR="003D4D50" w:rsidRPr="00F42D9E" w:rsidRDefault="003D4D50" w:rsidP="003D4D50">
            <w:pPr>
              <w:pStyle w:val="naisc"/>
              <w:spacing w:before="0" w:after="0"/>
              <w:jc w:val="both"/>
              <w:rPr>
                <w:b/>
                <w:bCs/>
              </w:rPr>
            </w:pPr>
            <w:r>
              <w:rPr>
                <w:b/>
                <w:bCs/>
              </w:rPr>
              <w:t>Ņ</w:t>
            </w:r>
            <w:r w:rsidRPr="00F42D9E">
              <w:rPr>
                <w:b/>
                <w:bCs/>
              </w:rPr>
              <w:t>emts vērā</w:t>
            </w:r>
          </w:p>
          <w:p w14:paraId="6E73E764" w14:textId="442C1AE5" w:rsidR="003D4D50" w:rsidRPr="00712B66" w:rsidRDefault="003D4D50" w:rsidP="003D4D50">
            <w:pPr>
              <w:pStyle w:val="naisc"/>
              <w:spacing w:before="0" w:after="0"/>
              <w:jc w:val="both"/>
            </w:pPr>
          </w:p>
        </w:tc>
        <w:tc>
          <w:tcPr>
            <w:tcW w:w="1934" w:type="dxa"/>
            <w:tcBorders>
              <w:top w:val="single" w:sz="4" w:space="0" w:color="auto"/>
              <w:left w:val="single" w:sz="4" w:space="0" w:color="auto"/>
              <w:bottom w:val="single" w:sz="4" w:space="0" w:color="auto"/>
            </w:tcBorders>
          </w:tcPr>
          <w:p w14:paraId="6F80CAFB" w14:textId="689052A0" w:rsidR="003D4D50" w:rsidRPr="00712B66" w:rsidRDefault="003D4D50" w:rsidP="003D4D50">
            <w:pPr>
              <w:jc w:val="both"/>
            </w:pPr>
            <w:r>
              <w:t>Skat. Plāna projekta 3.1., 3.2., 3.3., 3.4. un 3.5. sadaļas.</w:t>
            </w:r>
          </w:p>
        </w:tc>
      </w:tr>
      <w:tr w:rsidR="003D4D50" w:rsidRPr="00712B66" w14:paraId="20A7CD61" w14:textId="77777777" w:rsidTr="7E8539FD">
        <w:tc>
          <w:tcPr>
            <w:tcW w:w="673" w:type="dxa"/>
            <w:tcBorders>
              <w:left w:val="single" w:sz="6" w:space="0" w:color="000000" w:themeColor="text1"/>
              <w:bottom w:val="single" w:sz="4" w:space="0" w:color="auto"/>
              <w:right w:val="single" w:sz="6" w:space="0" w:color="000000" w:themeColor="text1"/>
            </w:tcBorders>
          </w:tcPr>
          <w:p w14:paraId="2A2D4498" w14:textId="4A1582EA" w:rsidR="003D4D50" w:rsidRDefault="00F76D07" w:rsidP="003D4D50">
            <w:pPr>
              <w:pStyle w:val="naisc"/>
              <w:spacing w:before="0" w:after="0"/>
            </w:pPr>
            <w:r>
              <w:lastRenderedPageBreak/>
              <w:t>46</w:t>
            </w:r>
            <w:r w:rsidR="003D4D50">
              <w:t>.</w:t>
            </w:r>
          </w:p>
        </w:tc>
        <w:tc>
          <w:tcPr>
            <w:tcW w:w="1835" w:type="dxa"/>
            <w:tcBorders>
              <w:left w:val="single" w:sz="6" w:space="0" w:color="000000" w:themeColor="text1"/>
              <w:bottom w:val="single" w:sz="4" w:space="0" w:color="auto"/>
              <w:right w:val="single" w:sz="6" w:space="0" w:color="000000" w:themeColor="text1"/>
            </w:tcBorders>
          </w:tcPr>
          <w:p w14:paraId="25AD3225" w14:textId="5E1352CF" w:rsidR="003D4D50" w:rsidRDefault="003D4D50" w:rsidP="003D4D50">
            <w:pPr>
              <w:pStyle w:val="naisc"/>
              <w:spacing w:before="0" w:after="0"/>
              <w:jc w:val="both"/>
            </w:pPr>
            <w:r>
              <w:t xml:space="preserve">Skat. Plāna projektu un Ministru kabineta rīkojuma projektu. </w:t>
            </w:r>
          </w:p>
        </w:tc>
        <w:tc>
          <w:tcPr>
            <w:tcW w:w="7123" w:type="dxa"/>
            <w:gridSpan w:val="2"/>
            <w:tcBorders>
              <w:left w:val="single" w:sz="6" w:space="0" w:color="000000" w:themeColor="text1"/>
              <w:bottom w:val="single" w:sz="4" w:space="0" w:color="auto"/>
              <w:right w:val="single" w:sz="6" w:space="0" w:color="000000" w:themeColor="text1"/>
            </w:tcBorders>
          </w:tcPr>
          <w:p w14:paraId="07EC3C45" w14:textId="77777777" w:rsidR="003D4D50" w:rsidRDefault="003D4D50" w:rsidP="003D4D50">
            <w:pPr>
              <w:pStyle w:val="naisc"/>
              <w:spacing w:before="0" w:after="0"/>
              <w:rPr>
                <w:b/>
              </w:rPr>
            </w:pPr>
            <w:r>
              <w:rPr>
                <w:b/>
              </w:rPr>
              <w:t>Pārresoru koordinācijas centrs</w:t>
            </w:r>
          </w:p>
          <w:p w14:paraId="182C0978" w14:textId="77777777" w:rsidR="003D4D50" w:rsidRDefault="003D4D50" w:rsidP="003D4D50">
            <w:pPr>
              <w:pStyle w:val="naisc"/>
              <w:spacing w:before="0" w:after="0"/>
            </w:pPr>
            <w:r>
              <w:t>(12.01.2021. iebildums)</w:t>
            </w:r>
          </w:p>
          <w:p w14:paraId="00696E64" w14:textId="19CBE8D2" w:rsidR="003D4D50" w:rsidRPr="0057685D" w:rsidRDefault="003D4D50" w:rsidP="003D4D50">
            <w:pPr>
              <w:pStyle w:val="naisc"/>
              <w:spacing w:before="0" w:after="0"/>
              <w:jc w:val="both"/>
            </w:pPr>
            <w:r>
              <w:br/>
              <w:t>Lūdzam precizēt projekta saturu, nodrošinot tā atbilstību Ministru kabineta 2014.gada 2.decembra noteikumu Nr.737 “Attīstības plānošanas dokumentu izstrādes un ietekmes izvērtēšanas noteikumi” (noteikumi Nr.737) noteiktajām prasībām, izvēloties kādu no atbilstošākajām plānošanas dokumenta formām (sk. arī atzinuma 1.punktu) un atbilstoši izvēlētajai formai lūdzam  norādīt ietekmi uz valsts un pašvaldību budžetiem atbilstoši noteikumu Nr. 737 prasībām, izmantojot veidlapu, kas ir iekļauta noteikumu 1., 2. vai 3.pielikumā, kā arī precizēt rīkojuma projektu atbilstoši  noteikumu Nr.737 prasībām.</w:t>
            </w:r>
          </w:p>
        </w:tc>
        <w:tc>
          <w:tcPr>
            <w:tcW w:w="3427" w:type="dxa"/>
            <w:gridSpan w:val="2"/>
            <w:tcBorders>
              <w:left w:val="single" w:sz="6" w:space="0" w:color="000000" w:themeColor="text1"/>
              <w:bottom w:val="single" w:sz="4" w:space="0" w:color="auto"/>
              <w:right w:val="single" w:sz="6" w:space="0" w:color="000000" w:themeColor="text1"/>
            </w:tcBorders>
          </w:tcPr>
          <w:p w14:paraId="036B74B6" w14:textId="7BC17477" w:rsidR="003D4D50" w:rsidRPr="004453BE" w:rsidRDefault="003D4D50" w:rsidP="003D4D50">
            <w:pPr>
              <w:pStyle w:val="naisc"/>
              <w:spacing w:before="0" w:after="0"/>
              <w:jc w:val="both"/>
              <w:rPr>
                <w:b/>
                <w:bCs/>
              </w:rPr>
            </w:pPr>
            <w:r w:rsidRPr="004453BE">
              <w:rPr>
                <w:b/>
                <w:bCs/>
              </w:rPr>
              <w:t xml:space="preserve">Ņemts vērā </w:t>
            </w:r>
          </w:p>
          <w:p w14:paraId="7B674BD6" w14:textId="18AD9ABB" w:rsidR="003D4D50" w:rsidRPr="00712B66" w:rsidRDefault="003D4D50" w:rsidP="003D4D50">
            <w:pPr>
              <w:pStyle w:val="naisc"/>
              <w:spacing w:before="0" w:after="0"/>
              <w:jc w:val="both"/>
            </w:pPr>
          </w:p>
          <w:p w14:paraId="67BCA79A" w14:textId="6FE12076" w:rsidR="003D4D50" w:rsidRPr="00712B66" w:rsidRDefault="003D4D50" w:rsidP="003D4D50">
            <w:pPr>
              <w:pStyle w:val="naisc"/>
              <w:spacing w:before="0" w:after="0"/>
              <w:jc w:val="both"/>
            </w:pPr>
            <w:r>
              <w:t xml:space="preserve">Plāna projekts ir pilnveidots atbilstoši Ministru kabineta 2014. gada 2. decembra noteikumiem Nr. 737 "Attīstības plānošanas dokumentu izstrādes un ietekmes izvērtēšanas noteikumi" (turpmāk – Noteikumi Nr. 737). Ministru kabineta rīkojuma projekts precizēts atbilstoši Noteikumu Nr. 737 26.1. un 26.2. apakšpunktos noteiktajām prasībām, savukārt 26.3. apakšpunktā noteiktais nav, jo ar šo Ministru kabineta rīkojumu nav nepieciešams atzīt politikas plānošanas dokumentus par spēku zaudējušiem. </w:t>
            </w:r>
          </w:p>
        </w:tc>
        <w:tc>
          <w:tcPr>
            <w:tcW w:w="1934" w:type="dxa"/>
            <w:tcBorders>
              <w:top w:val="single" w:sz="4" w:space="0" w:color="auto"/>
              <w:left w:val="single" w:sz="4" w:space="0" w:color="auto"/>
              <w:bottom w:val="single" w:sz="4" w:space="0" w:color="auto"/>
            </w:tcBorders>
          </w:tcPr>
          <w:p w14:paraId="4B769E68" w14:textId="60B95A9A" w:rsidR="003D4D50" w:rsidRPr="00712B66" w:rsidRDefault="003D4D50" w:rsidP="003D4D50">
            <w:pPr>
              <w:jc w:val="both"/>
            </w:pPr>
            <w:r>
              <w:t>Skat. Ministru kabineta rīkojuma projektu un Plāna projekta 2. un 5. pielikumu.</w:t>
            </w:r>
          </w:p>
        </w:tc>
      </w:tr>
      <w:tr w:rsidR="003D4D50" w:rsidRPr="00712B66" w14:paraId="1248389F" w14:textId="77777777" w:rsidTr="7E8539FD">
        <w:tc>
          <w:tcPr>
            <w:tcW w:w="673" w:type="dxa"/>
            <w:tcBorders>
              <w:left w:val="single" w:sz="6" w:space="0" w:color="000000" w:themeColor="text1"/>
              <w:bottom w:val="single" w:sz="4" w:space="0" w:color="auto"/>
              <w:right w:val="single" w:sz="6" w:space="0" w:color="000000" w:themeColor="text1"/>
            </w:tcBorders>
          </w:tcPr>
          <w:p w14:paraId="24190172" w14:textId="24171485" w:rsidR="003D4D50" w:rsidRDefault="00F76D07" w:rsidP="003D4D50">
            <w:pPr>
              <w:pStyle w:val="naisc"/>
              <w:spacing w:before="0" w:after="0"/>
            </w:pPr>
            <w:r>
              <w:t>47</w:t>
            </w:r>
            <w:r w:rsidR="003D4D50">
              <w:t>.</w:t>
            </w:r>
          </w:p>
        </w:tc>
        <w:tc>
          <w:tcPr>
            <w:tcW w:w="1835" w:type="dxa"/>
            <w:tcBorders>
              <w:left w:val="single" w:sz="6" w:space="0" w:color="000000" w:themeColor="text1"/>
              <w:bottom w:val="single" w:sz="4" w:space="0" w:color="auto"/>
              <w:right w:val="single" w:sz="6" w:space="0" w:color="000000" w:themeColor="text1"/>
            </w:tcBorders>
          </w:tcPr>
          <w:p w14:paraId="6E593D0A" w14:textId="71069A77" w:rsidR="003D4D50" w:rsidRDefault="003D4D50" w:rsidP="003D4D50">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77B0F543" w14:textId="77777777" w:rsidR="003D4D50" w:rsidRDefault="003D4D50" w:rsidP="003D4D50">
            <w:pPr>
              <w:pStyle w:val="naisc"/>
              <w:spacing w:before="0" w:after="0"/>
              <w:rPr>
                <w:b/>
              </w:rPr>
            </w:pPr>
            <w:r>
              <w:rPr>
                <w:b/>
              </w:rPr>
              <w:t>Pārresoru koordinācijas centrs</w:t>
            </w:r>
          </w:p>
          <w:p w14:paraId="6FB06D11" w14:textId="77777777" w:rsidR="003D4D50" w:rsidRDefault="003D4D50" w:rsidP="003D4D50">
            <w:pPr>
              <w:pStyle w:val="naisc"/>
              <w:spacing w:before="0" w:after="0"/>
            </w:pPr>
            <w:r>
              <w:t>(12.01.2021. iebildums)</w:t>
            </w:r>
          </w:p>
          <w:p w14:paraId="5E550F93" w14:textId="77777777" w:rsidR="003D4D50" w:rsidRDefault="003D4D50" w:rsidP="003D4D50">
            <w:pPr>
              <w:pStyle w:val="naisc"/>
              <w:spacing w:before="0" w:after="0"/>
            </w:pPr>
          </w:p>
          <w:p w14:paraId="7087A589" w14:textId="787AA533" w:rsidR="003D4D50" w:rsidRPr="0057685D" w:rsidRDefault="003D4D50" w:rsidP="003D4D50">
            <w:pPr>
              <w:pStyle w:val="naisc"/>
              <w:spacing w:before="0" w:after="0"/>
              <w:jc w:val="both"/>
            </w:pPr>
            <w:r w:rsidRPr="0057685D">
              <w:t>Vienlaikus, lai pārliecinātos par pamatnostādņu saskaņotību ar Latvijas Nacionālo attīstības plānu 2021. - 2027. gadam (turpmāk - NAP2027), lūdzam informēt PKC par plānotajiem NAP2027 pasākumiem, kas tiks īstenoti projekta ietvarā, pie katra uzdevuma/pasākuma, kur tiek plānots papildus nepieciešamais finansējums, norādot NAP2027 pasākuma numuru un finansējuma apmēru, ko ir plānots īstenot zem attiecīgā uzdevuma. </w:t>
            </w:r>
          </w:p>
        </w:tc>
        <w:tc>
          <w:tcPr>
            <w:tcW w:w="3427" w:type="dxa"/>
            <w:gridSpan w:val="2"/>
            <w:tcBorders>
              <w:left w:val="single" w:sz="6" w:space="0" w:color="000000" w:themeColor="text1"/>
              <w:bottom w:val="single" w:sz="4" w:space="0" w:color="auto"/>
              <w:right w:val="single" w:sz="6" w:space="0" w:color="000000" w:themeColor="text1"/>
            </w:tcBorders>
          </w:tcPr>
          <w:p w14:paraId="1EE6712F" w14:textId="45F38BBE" w:rsidR="003D4D50" w:rsidRPr="005A0F1E" w:rsidRDefault="003D4D50" w:rsidP="003D4D50">
            <w:pPr>
              <w:pStyle w:val="naisc"/>
              <w:spacing w:before="0" w:after="0"/>
              <w:jc w:val="both"/>
              <w:rPr>
                <w:b/>
                <w:bCs/>
              </w:rPr>
            </w:pPr>
            <w:r w:rsidRPr="005A0F1E">
              <w:rPr>
                <w:b/>
                <w:bCs/>
              </w:rPr>
              <w:t>Ņemts vērā</w:t>
            </w:r>
          </w:p>
        </w:tc>
        <w:tc>
          <w:tcPr>
            <w:tcW w:w="1934" w:type="dxa"/>
            <w:tcBorders>
              <w:top w:val="single" w:sz="4" w:space="0" w:color="auto"/>
              <w:left w:val="single" w:sz="4" w:space="0" w:color="auto"/>
              <w:bottom w:val="single" w:sz="4" w:space="0" w:color="auto"/>
            </w:tcBorders>
          </w:tcPr>
          <w:p w14:paraId="0990C7A8" w14:textId="633DEC45" w:rsidR="003D4D50" w:rsidRPr="00712B66" w:rsidRDefault="003D4D50" w:rsidP="003D4D50">
            <w:pPr>
              <w:jc w:val="both"/>
            </w:pPr>
            <w:r>
              <w:t>Skat. Plāna projekta 2. pielikumu.</w:t>
            </w:r>
          </w:p>
        </w:tc>
      </w:tr>
      <w:tr w:rsidR="003D4D50" w:rsidRPr="00712B66" w14:paraId="4AB89A3B" w14:textId="77777777" w:rsidTr="7E8539FD">
        <w:tc>
          <w:tcPr>
            <w:tcW w:w="673" w:type="dxa"/>
            <w:tcBorders>
              <w:left w:val="single" w:sz="6" w:space="0" w:color="000000" w:themeColor="text1"/>
              <w:bottom w:val="single" w:sz="4" w:space="0" w:color="auto"/>
              <w:right w:val="single" w:sz="6" w:space="0" w:color="000000" w:themeColor="text1"/>
            </w:tcBorders>
          </w:tcPr>
          <w:p w14:paraId="78F39985" w14:textId="247B01AB" w:rsidR="003D4D50" w:rsidRDefault="00F76D07" w:rsidP="003D4D50">
            <w:pPr>
              <w:pStyle w:val="naisc"/>
              <w:spacing w:before="0" w:after="0"/>
            </w:pPr>
            <w:r>
              <w:t>48.</w:t>
            </w:r>
          </w:p>
        </w:tc>
        <w:tc>
          <w:tcPr>
            <w:tcW w:w="1835" w:type="dxa"/>
            <w:tcBorders>
              <w:left w:val="single" w:sz="6" w:space="0" w:color="000000" w:themeColor="text1"/>
              <w:bottom w:val="single" w:sz="4" w:space="0" w:color="auto"/>
              <w:right w:val="single" w:sz="6" w:space="0" w:color="000000" w:themeColor="text1"/>
            </w:tcBorders>
          </w:tcPr>
          <w:p w14:paraId="3455761C" w14:textId="71A2C23E" w:rsidR="003D4D50" w:rsidRDefault="003D4D50" w:rsidP="003D4D50">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0C02AC9A" w14:textId="77777777" w:rsidR="003D4D50" w:rsidRDefault="003D4D50" w:rsidP="003D4D50">
            <w:pPr>
              <w:pStyle w:val="naisc"/>
              <w:spacing w:before="0" w:after="0"/>
              <w:rPr>
                <w:b/>
              </w:rPr>
            </w:pPr>
            <w:r>
              <w:rPr>
                <w:b/>
              </w:rPr>
              <w:t>Pārresoru koordinācijas centrs</w:t>
            </w:r>
          </w:p>
          <w:p w14:paraId="5DA45A7F" w14:textId="77777777" w:rsidR="003D4D50" w:rsidRDefault="003D4D50" w:rsidP="003D4D50">
            <w:pPr>
              <w:pStyle w:val="naisc"/>
              <w:spacing w:before="0" w:after="0"/>
            </w:pPr>
            <w:r>
              <w:t>(12.01.2021. iebildums)</w:t>
            </w:r>
          </w:p>
          <w:p w14:paraId="0530B014" w14:textId="77777777" w:rsidR="003D4D50" w:rsidRDefault="003D4D50" w:rsidP="003D4D50">
            <w:pPr>
              <w:pStyle w:val="naisc"/>
              <w:spacing w:before="0" w:after="0"/>
            </w:pPr>
          </w:p>
          <w:p w14:paraId="37DF9EFF" w14:textId="77777777" w:rsidR="003D4D50" w:rsidRPr="0057685D" w:rsidRDefault="003D4D50" w:rsidP="003D4D50">
            <w:pPr>
              <w:pStyle w:val="naisc"/>
              <w:spacing w:before="0" w:after="0"/>
              <w:jc w:val="both"/>
            </w:pPr>
            <w:r w:rsidRPr="0057685D">
              <w:lastRenderedPageBreak/>
              <w:t xml:space="preserve">Projekts ir formulēts pārāk vispārīgi, lai pretendētu uz plānošanas dokumenta statusa – tajā nav noteikti konkrēti mērķi, tiem sekojoši uzdevumi un pasākumi, sasniedzamie rezultatīvie rādītāji un projekta īstenošanai nepieciešamais finansējums un to avoti. </w:t>
            </w:r>
          </w:p>
          <w:p w14:paraId="18E36B2A" w14:textId="77777777" w:rsidR="003D4D50" w:rsidRPr="0057685D" w:rsidRDefault="003D4D50" w:rsidP="003D4D50">
            <w:pPr>
              <w:pStyle w:val="naisc"/>
              <w:spacing w:before="0" w:after="0"/>
              <w:jc w:val="both"/>
            </w:pPr>
            <w:r w:rsidRPr="0057685D">
              <w:tab/>
              <w:t>Ņemot vērā minēto, aicinām:</w:t>
            </w:r>
          </w:p>
          <w:p w14:paraId="6792EB85" w14:textId="77777777" w:rsidR="003D4D50" w:rsidRPr="0057685D" w:rsidRDefault="003D4D50" w:rsidP="003D4D50">
            <w:pPr>
              <w:pStyle w:val="naisc"/>
              <w:spacing w:before="0" w:after="0"/>
              <w:jc w:val="both"/>
            </w:pPr>
            <w:r w:rsidRPr="0057685D">
              <w:rPr>
                <w:b/>
                <w:bCs/>
              </w:rPr>
              <w:t>1.1.</w:t>
            </w:r>
            <w:r w:rsidRPr="0057685D">
              <w:t xml:space="preserve"> izvērtēt iespēju ietvert projekta saturu plānotajās Valsts pārvaldes attīstības pamatnostādnēs, ņemot vērā, ka projekta darbības termiņš ir paredzēts septiņu gadu periodam un personāla apmācības un profesionālā izaugsme pēc būtības ir viens no valsts pārvaldes politikas pamatvirzieniem; </w:t>
            </w:r>
          </w:p>
          <w:p w14:paraId="4DA0CE23" w14:textId="0A622F2D" w:rsidR="003D4D50" w:rsidRDefault="003D4D50" w:rsidP="003D4D50">
            <w:pPr>
              <w:pStyle w:val="naisc"/>
              <w:spacing w:before="0" w:after="0"/>
              <w:jc w:val="both"/>
              <w:rPr>
                <w:b/>
              </w:rPr>
            </w:pPr>
            <w:r w:rsidRPr="0057685D">
              <w:rPr>
                <w:b/>
                <w:bCs/>
              </w:rPr>
              <w:t>1.2.</w:t>
            </w:r>
            <w:r w:rsidRPr="0057685D">
              <w:rPr>
                <w:iCs/>
              </w:rPr>
              <w:t xml:space="preserve"> </w:t>
            </w:r>
            <w:r w:rsidRPr="0057685D">
              <w:t xml:space="preserve">Ņemot vērā, ka valsts pārvaldē nodarbināto mācīšanās komponente saistīta ar citiem </w:t>
            </w:r>
            <w:r w:rsidRPr="0057685D">
              <w:rPr>
                <w:iCs/>
              </w:rPr>
              <w:t xml:space="preserve">Valsts pārvaldes reformu plānā 2020 </w:t>
            </w:r>
            <w:r w:rsidRPr="0057685D">
              <w:t xml:space="preserve"> tvertiem valsts attīstības plānošanas jautājumiem – funkciju un cilvēkresursu optimizēšanu, visaptveroša iestāžu funkciju un institucionālās sistēmas analīze, kurās tiek nodarbinātas amatpersonas ar speciālajām dienesta pakāpēm u.c., aicinām projektu virzīt pēc vai vismaz vienlaikus ar </w:t>
            </w:r>
            <w:r w:rsidRPr="0057685D">
              <w:rPr>
                <w:iCs/>
              </w:rPr>
              <w:t xml:space="preserve">Valsts pārvaldes reformu plāna 2020 novērtējuma ziņojumu, kas </w:t>
            </w:r>
            <w:r w:rsidRPr="0057685D">
              <w:t xml:space="preserve">Valsts kancelejai līdz 2021. gada 1. martam jāsniedz Ministru kabinetā. </w:t>
            </w:r>
            <w:r w:rsidRPr="0057685D">
              <w:rPr>
                <w:iCs/>
              </w:rPr>
              <w:t xml:space="preserve">Pretējā gadījumā projektā uzstādītie mērķi ir atrauti no kopējām valsts pārvaldes reformas jautājumiem, kas visticamāk tiks risināti jaunajās </w:t>
            </w:r>
            <w:r w:rsidRPr="0057685D">
              <w:t>Valsts pārvaldes attīstības pamatnostādnēs.</w:t>
            </w:r>
          </w:p>
        </w:tc>
        <w:tc>
          <w:tcPr>
            <w:tcW w:w="3427" w:type="dxa"/>
            <w:gridSpan w:val="2"/>
            <w:tcBorders>
              <w:left w:val="single" w:sz="6" w:space="0" w:color="000000" w:themeColor="text1"/>
              <w:bottom w:val="single" w:sz="4" w:space="0" w:color="auto"/>
              <w:right w:val="single" w:sz="6" w:space="0" w:color="000000" w:themeColor="text1"/>
            </w:tcBorders>
          </w:tcPr>
          <w:p w14:paraId="579B07F9" w14:textId="476A9F19" w:rsidR="003D4D50" w:rsidRPr="003A00FA" w:rsidRDefault="003D4D50" w:rsidP="003D4D50">
            <w:pPr>
              <w:jc w:val="both"/>
              <w:rPr>
                <w:b/>
              </w:rPr>
            </w:pPr>
            <w:r w:rsidRPr="003A00FA">
              <w:rPr>
                <w:b/>
              </w:rPr>
              <w:lastRenderedPageBreak/>
              <w:t>Uzskatāms par saskaņotu e</w:t>
            </w:r>
            <w:r w:rsidR="003A00FA">
              <w:rPr>
                <w:b/>
              </w:rPr>
              <w:t>lektroniskās saskaņošanas laikā</w:t>
            </w:r>
          </w:p>
          <w:p w14:paraId="619B1AF3" w14:textId="77777777" w:rsidR="003D4D50" w:rsidRDefault="003D4D50" w:rsidP="003D4D50">
            <w:pPr>
              <w:pStyle w:val="naisc"/>
              <w:spacing w:before="0" w:after="0"/>
              <w:jc w:val="both"/>
              <w:rPr>
                <w:b/>
                <w:bCs/>
              </w:rPr>
            </w:pPr>
          </w:p>
          <w:p w14:paraId="1665B9F1" w14:textId="77777777" w:rsidR="003D4D50" w:rsidRDefault="003D4D50" w:rsidP="003D4D50">
            <w:pPr>
              <w:pStyle w:val="naisc"/>
              <w:spacing w:before="0" w:after="0"/>
              <w:jc w:val="both"/>
              <w:rPr>
                <w:b/>
                <w:bCs/>
              </w:rPr>
            </w:pPr>
          </w:p>
          <w:p w14:paraId="2D10F6DF" w14:textId="5F3CE7C1" w:rsidR="003D4D50" w:rsidRPr="005A0F1E" w:rsidRDefault="003D4D50" w:rsidP="003D4D50">
            <w:pPr>
              <w:pStyle w:val="naisc"/>
              <w:spacing w:before="0" w:after="0"/>
              <w:jc w:val="both"/>
              <w:rPr>
                <w:b/>
                <w:bCs/>
              </w:rPr>
            </w:pPr>
          </w:p>
        </w:tc>
        <w:tc>
          <w:tcPr>
            <w:tcW w:w="1934" w:type="dxa"/>
            <w:tcBorders>
              <w:top w:val="single" w:sz="4" w:space="0" w:color="auto"/>
              <w:left w:val="single" w:sz="4" w:space="0" w:color="auto"/>
              <w:bottom w:val="single" w:sz="4" w:space="0" w:color="auto"/>
            </w:tcBorders>
          </w:tcPr>
          <w:p w14:paraId="7EDBA0E6" w14:textId="2C7C6F22" w:rsidR="003D4D50" w:rsidRDefault="003D4D50" w:rsidP="003D4D50">
            <w:pPr>
              <w:jc w:val="both"/>
            </w:pPr>
            <w:r>
              <w:lastRenderedPageBreak/>
              <w:t>Skat. Plāna projekta 2. un 5. pielikumu.</w:t>
            </w:r>
          </w:p>
        </w:tc>
      </w:tr>
      <w:tr w:rsidR="003D4D50" w:rsidRPr="00712B66" w14:paraId="3F63C403" w14:textId="77777777" w:rsidTr="7E8539FD">
        <w:tc>
          <w:tcPr>
            <w:tcW w:w="673" w:type="dxa"/>
            <w:tcBorders>
              <w:left w:val="single" w:sz="6" w:space="0" w:color="000000" w:themeColor="text1"/>
              <w:bottom w:val="single" w:sz="4" w:space="0" w:color="auto"/>
              <w:right w:val="single" w:sz="6" w:space="0" w:color="000000" w:themeColor="text1"/>
            </w:tcBorders>
          </w:tcPr>
          <w:p w14:paraId="409E3F4A" w14:textId="1DFBBE50" w:rsidR="003D4D50" w:rsidRDefault="00F76D07" w:rsidP="003D4D50">
            <w:pPr>
              <w:pStyle w:val="naisc"/>
              <w:spacing w:before="0" w:after="0"/>
            </w:pPr>
            <w:r>
              <w:t>49.</w:t>
            </w:r>
          </w:p>
        </w:tc>
        <w:tc>
          <w:tcPr>
            <w:tcW w:w="1835" w:type="dxa"/>
            <w:tcBorders>
              <w:left w:val="single" w:sz="6" w:space="0" w:color="000000" w:themeColor="text1"/>
              <w:bottom w:val="single" w:sz="4" w:space="0" w:color="auto"/>
              <w:right w:val="single" w:sz="6" w:space="0" w:color="000000" w:themeColor="text1"/>
            </w:tcBorders>
          </w:tcPr>
          <w:p w14:paraId="11EEC8C9" w14:textId="2A153504" w:rsidR="003D4D50" w:rsidRDefault="003D4D50" w:rsidP="003D4D50">
            <w:pPr>
              <w:pStyle w:val="naisc"/>
              <w:spacing w:before="0" w:after="0"/>
              <w:jc w:val="both"/>
            </w:pPr>
            <w:r>
              <w:t xml:space="preserve">Skat. Plāna projektu. </w:t>
            </w:r>
          </w:p>
        </w:tc>
        <w:tc>
          <w:tcPr>
            <w:tcW w:w="7123" w:type="dxa"/>
            <w:gridSpan w:val="2"/>
            <w:tcBorders>
              <w:left w:val="single" w:sz="6" w:space="0" w:color="000000" w:themeColor="text1"/>
              <w:bottom w:val="single" w:sz="4" w:space="0" w:color="auto"/>
              <w:right w:val="single" w:sz="6" w:space="0" w:color="000000" w:themeColor="text1"/>
            </w:tcBorders>
          </w:tcPr>
          <w:p w14:paraId="0A9FB1C0" w14:textId="77777777" w:rsidR="003D4D50" w:rsidRDefault="003D4D50" w:rsidP="003D4D50">
            <w:pPr>
              <w:pStyle w:val="naisc"/>
              <w:spacing w:before="0" w:after="0"/>
              <w:rPr>
                <w:b/>
              </w:rPr>
            </w:pPr>
            <w:r>
              <w:rPr>
                <w:b/>
              </w:rPr>
              <w:t>Pārresoru koordinācijas centrs</w:t>
            </w:r>
          </w:p>
          <w:p w14:paraId="2B72B751" w14:textId="77777777" w:rsidR="003D4D50" w:rsidRDefault="003D4D50" w:rsidP="003D4D50">
            <w:pPr>
              <w:pStyle w:val="naisc"/>
              <w:spacing w:before="0" w:after="0"/>
            </w:pPr>
            <w:r>
              <w:t>(12.01.2021. iebildums)</w:t>
            </w:r>
          </w:p>
          <w:p w14:paraId="6AEF6A7A" w14:textId="77777777" w:rsidR="003D4D50" w:rsidRDefault="003D4D50" w:rsidP="003D4D50">
            <w:pPr>
              <w:pStyle w:val="naisc"/>
              <w:spacing w:before="0" w:after="0"/>
            </w:pPr>
          </w:p>
          <w:p w14:paraId="109984C3" w14:textId="7DD4B22B" w:rsidR="003D4D50" w:rsidRDefault="003D4D50" w:rsidP="003D4D50">
            <w:pPr>
              <w:pStyle w:val="naisc"/>
              <w:spacing w:before="0" w:after="0"/>
              <w:jc w:val="both"/>
              <w:rPr>
                <w:b/>
              </w:rPr>
            </w:pPr>
            <w:r w:rsidRPr="0057685D">
              <w:t xml:space="preserve">Projektā citu starpā minēts, ka, īstenojot stratēģisko prioritāti “Godprātīgs darbs publiskajā pārvaldē”, paredzams, ka tiks </w:t>
            </w:r>
            <w:r w:rsidRPr="0057685D">
              <w:rPr>
                <w:b/>
                <w:bCs/>
              </w:rPr>
              <w:t>stiprināta tiesībaizsardzības iestāžu veiktspēja un nodarbināto profesionālā pilnveide</w:t>
            </w:r>
            <w:r w:rsidRPr="0057685D">
              <w:t xml:space="preserve">, veicinot stipru, kompetentu un neatkarīgu tiesībaizsardzības iestāžu attīstību un </w:t>
            </w:r>
            <w:r w:rsidRPr="0057685D">
              <w:rPr>
                <w:b/>
                <w:bCs/>
                <w:i/>
                <w:iCs/>
              </w:rPr>
              <w:t>sekmējot tiesvedības procesu saīsināšanu, pateicoties kvalitatīvu izmeklēšanas pierādījumu un liecību radīšanai pirmstiesas izmeklēšanas procesā</w:t>
            </w:r>
            <w:r w:rsidRPr="0057685D">
              <w:t>.</w:t>
            </w:r>
            <w:r w:rsidRPr="0057685D">
              <w:rPr>
                <w:bCs/>
              </w:rPr>
              <w:t xml:space="preserve"> Vēršam uzmanību, ka ar norādītajiem uzdevumiem  - “3.1.6. Stiprināt tiesībsargājošo </w:t>
            </w:r>
            <w:r w:rsidRPr="0057685D">
              <w:t xml:space="preserve">institūciju </w:t>
            </w:r>
            <w:r w:rsidRPr="0057685D">
              <w:rPr>
                <w:bCs/>
              </w:rPr>
              <w:t xml:space="preserve">kapacitāti, lai pārraudzītu interešu konflikta, krāpšanas un korupcijas </w:t>
            </w:r>
            <w:r w:rsidRPr="0057685D">
              <w:rPr>
                <w:bCs/>
              </w:rPr>
              <w:lastRenderedPageBreak/>
              <w:t xml:space="preserve">novēršanas problēmu risināšanu” un” 3.1.7. Veicināt prasmju viendabību </w:t>
            </w:r>
            <w:r w:rsidRPr="0057685D">
              <w:t xml:space="preserve">attīstību </w:t>
            </w:r>
            <w:r w:rsidRPr="0057685D">
              <w:rPr>
                <w:bCs/>
              </w:rPr>
              <w:t xml:space="preserve">un pārnesi tiesībsargājošo institūciju starpā” </w:t>
            </w:r>
            <w:r w:rsidRPr="00A26A7F">
              <w:rPr>
                <w:bCs/>
              </w:rPr>
              <w:t>nav gūstams pamatojums, vai attiecīgos uzstādījumus izdosies sasniegt.</w:t>
            </w:r>
            <w:r w:rsidRPr="0057685D">
              <w:rPr>
                <w:bCs/>
              </w:rPr>
              <w:t xml:space="preserve"> Pie tam, ņemot vērā, ka projekts nav noformēts atbilstoši </w:t>
            </w:r>
            <w:r w:rsidRPr="0057685D">
              <w:t>noteikumu Nr.737 prasībām, netop skaidrs, kura institūcija būs atbildīga par to īstenošanu un kuras līdzatbildīgas.</w:t>
            </w:r>
          </w:p>
        </w:tc>
        <w:tc>
          <w:tcPr>
            <w:tcW w:w="3427" w:type="dxa"/>
            <w:gridSpan w:val="2"/>
            <w:tcBorders>
              <w:left w:val="single" w:sz="6" w:space="0" w:color="000000" w:themeColor="text1"/>
              <w:bottom w:val="single" w:sz="4" w:space="0" w:color="auto"/>
              <w:right w:val="single" w:sz="6" w:space="0" w:color="000000" w:themeColor="text1"/>
            </w:tcBorders>
          </w:tcPr>
          <w:p w14:paraId="4A6EF715" w14:textId="34669A5E" w:rsidR="003D4D50" w:rsidRPr="00712B66" w:rsidRDefault="003D4D50" w:rsidP="003D4D50">
            <w:pPr>
              <w:jc w:val="both"/>
            </w:pPr>
            <w:r w:rsidRPr="003A00FA">
              <w:rPr>
                <w:b/>
              </w:rPr>
              <w:lastRenderedPageBreak/>
              <w:t>Uzskatāms par saskaņotu elektroniskās saskaņošanas laikā</w:t>
            </w:r>
          </w:p>
          <w:p w14:paraId="6C86FA17" w14:textId="4639D9D5" w:rsidR="003D4D50" w:rsidRPr="005A0F1E" w:rsidRDefault="003D4D50" w:rsidP="003D4D50">
            <w:pPr>
              <w:pStyle w:val="naisc"/>
              <w:spacing w:before="0" w:after="0"/>
              <w:jc w:val="both"/>
              <w:rPr>
                <w:b/>
                <w:bCs/>
              </w:rPr>
            </w:pPr>
          </w:p>
        </w:tc>
        <w:tc>
          <w:tcPr>
            <w:tcW w:w="1934" w:type="dxa"/>
            <w:tcBorders>
              <w:top w:val="single" w:sz="4" w:space="0" w:color="auto"/>
              <w:left w:val="single" w:sz="4" w:space="0" w:color="auto"/>
              <w:bottom w:val="single" w:sz="4" w:space="0" w:color="auto"/>
            </w:tcBorders>
          </w:tcPr>
          <w:p w14:paraId="1135289D" w14:textId="3CC046C4" w:rsidR="003D4D50" w:rsidRDefault="003D4D50" w:rsidP="003D4D50">
            <w:pPr>
              <w:jc w:val="both"/>
            </w:pPr>
            <w:r>
              <w:t>Skat. Plāna projekta 4.1. sadaļu un 2. pielikumu.</w:t>
            </w:r>
          </w:p>
        </w:tc>
      </w:tr>
      <w:tr w:rsidR="003D4D50" w:rsidRPr="00712B66" w14:paraId="10827386" w14:textId="77777777" w:rsidTr="7E8539FD">
        <w:tc>
          <w:tcPr>
            <w:tcW w:w="673" w:type="dxa"/>
            <w:tcBorders>
              <w:left w:val="single" w:sz="6" w:space="0" w:color="000000" w:themeColor="text1"/>
              <w:bottom w:val="single" w:sz="4" w:space="0" w:color="auto"/>
              <w:right w:val="single" w:sz="6" w:space="0" w:color="000000" w:themeColor="text1"/>
            </w:tcBorders>
          </w:tcPr>
          <w:p w14:paraId="7D95CA54" w14:textId="5DC0B796" w:rsidR="003D4D50" w:rsidRDefault="00F76D07" w:rsidP="003D4D50">
            <w:pPr>
              <w:pStyle w:val="naisc"/>
              <w:spacing w:before="0" w:after="0"/>
            </w:pPr>
            <w:r>
              <w:t>50.</w:t>
            </w:r>
          </w:p>
        </w:tc>
        <w:tc>
          <w:tcPr>
            <w:tcW w:w="1835" w:type="dxa"/>
            <w:tcBorders>
              <w:left w:val="single" w:sz="6" w:space="0" w:color="000000" w:themeColor="text1"/>
              <w:bottom w:val="single" w:sz="4" w:space="0" w:color="auto"/>
              <w:right w:val="single" w:sz="6" w:space="0" w:color="000000" w:themeColor="text1"/>
            </w:tcBorders>
          </w:tcPr>
          <w:p w14:paraId="767FE8FB" w14:textId="6EDE1F03" w:rsidR="003D4D50" w:rsidRDefault="003D4D50" w:rsidP="003D4D50">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5A5899D1" w14:textId="77777777" w:rsidR="003D4D50" w:rsidRDefault="003D4D50" w:rsidP="003D4D50">
            <w:pPr>
              <w:pStyle w:val="naisc"/>
              <w:spacing w:before="0" w:after="0"/>
              <w:rPr>
                <w:b/>
              </w:rPr>
            </w:pPr>
            <w:r>
              <w:rPr>
                <w:b/>
              </w:rPr>
              <w:t>Pārresoru koordinācijas centrs</w:t>
            </w:r>
          </w:p>
          <w:p w14:paraId="1411DE24" w14:textId="77777777" w:rsidR="003D4D50" w:rsidRDefault="003D4D50" w:rsidP="003D4D50">
            <w:pPr>
              <w:pStyle w:val="naisc"/>
              <w:spacing w:before="0" w:after="0"/>
            </w:pPr>
            <w:r>
              <w:t>(12.01.2021. iebildums)</w:t>
            </w:r>
          </w:p>
          <w:p w14:paraId="0C83BE2F" w14:textId="77777777" w:rsidR="003D4D50" w:rsidRDefault="003D4D50" w:rsidP="003D4D50">
            <w:pPr>
              <w:pStyle w:val="naisc"/>
              <w:spacing w:before="0" w:after="0"/>
            </w:pPr>
          </w:p>
          <w:p w14:paraId="2419D7C0" w14:textId="3523BFE8" w:rsidR="003D4D50" w:rsidRDefault="003D4D50" w:rsidP="003D4D50">
            <w:pPr>
              <w:pStyle w:val="naisc"/>
              <w:spacing w:before="0" w:after="0"/>
              <w:jc w:val="both"/>
              <w:rPr>
                <w:b/>
              </w:rPr>
            </w:pPr>
            <w:r w:rsidRPr="0057685D">
              <w:t xml:space="preserve">Jau šobrīd, atbilstoši VAS nolikumam, skolas mērķis ir īstenot valsts politiku valsts pārvaldes profesionālās attīstības jomā, lai sagatavotu augsti kvalificētus un profesionālus nodarbinātos. Netop skaidrs, kas domāts ar projektā minēto, ka VAS darbojas kā </w:t>
            </w:r>
            <w:r w:rsidRPr="0057685D">
              <w:rPr>
                <w:b/>
                <w:bCs/>
              </w:rPr>
              <w:t>Publiskās pārvaldes attīstības un zināšanu pārneses centrs</w:t>
            </w:r>
            <w:r w:rsidRPr="0057685D">
              <w:t xml:space="preserve">, nodrošinot </w:t>
            </w:r>
            <w:r w:rsidRPr="0057685D">
              <w:rPr>
                <w:i/>
                <w:iCs/>
              </w:rPr>
              <w:t>stratēģijā (</w:t>
            </w:r>
            <w:r w:rsidRPr="0057685D">
              <w:rPr>
                <w:b/>
                <w:bCs/>
                <w:i/>
                <w:iCs/>
              </w:rPr>
              <w:t>šis dokuments nav sagatavots kā plānošanas dokuments</w:t>
            </w:r>
            <w:r w:rsidRPr="0057685D">
              <w:rPr>
                <w:i/>
                <w:iCs/>
              </w:rPr>
              <w:t>) un citos plānošanas dokumentos</w:t>
            </w:r>
            <w:r w:rsidRPr="0057685D">
              <w:t xml:space="preserve"> izvirzītos mācīšanās un attīstības pasākumus, ar resoriem kopīgi izstrādājot un centralizēti īstenojot publiskās pārvaldes mācīšanās, attīstības un talantu vadības programmas, valsts pārvaldes darbinieku attīstības matricas ieviešanu un lietošanu, kas ir paredzētas visai publiskai pārvaldei – kā korporatīvās jeb kopējās, tā profesionālās programmas. Tāpat minēts, ka ir nepieciešams nodrošināt </w:t>
            </w:r>
            <w:r w:rsidRPr="0057685D">
              <w:rPr>
                <w:b/>
                <w:bCs/>
                <w:i/>
                <w:iCs/>
              </w:rPr>
              <w:t xml:space="preserve">interaktīvas mācību platformas iegādi un ieviešanu, </w:t>
            </w:r>
            <w:r w:rsidRPr="0057685D">
              <w:t>kas</w:t>
            </w:r>
            <w:r w:rsidRPr="0057685D">
              <w:rPr>
                <w:b/>
                <w:bCs/>
                <w:i/>
                <w:iCs/>
              </w:rPr>
              <w:t xml:space="preserve"> </w:t>
            </w:r>
            <w:r w:rsidRPr="0057685D">
              <w:t xml:space="preserve">nodrošinātu vienota pieeja mācību plānošanā, resursu uzturēšana un koplietošana, individuālo moduļu veidošana, horizontālo kompetenču modeļu uzskaites nodrošināšana,  tehnisko resursu centralizēta administrēšana, ļaujot iestādēm lielāku uzmanību veltīt saturam. Lūdzam sniegt detalizētus uzdevumus un rezultatīvos rādītājus, kā arī nepieciešamā finansējuma atšifrējumu izvirzīto priekšlikumu sasniegšanai. Vienlaikus, nepieciešams papildināt, kāda loma turpmāk būs Latvijas pašvaldību mācību centram, kur citu starpā projektā minēts, ka tas, tāpat kā VAS, ir tikai viens no pakalpojuma sniedzējiem pašvaldību nodarbināto mācību attīstības pasākumu īstenošanā.  Savukārt, Tiesnešu mācību centrs vispār netiek minēts, lai gan tam ir būtiska loma projektā minēto </w:t>
            </w:r>
            <w:r w:rsidRPr="0057685D">
              <w:lastRenderedPageBreak/>
              <w:t xml:space="preserve">tiesībaizsardzības iestāžu kapacitātes veiktspējai. Tāpat projekta 5.3. sadaļā “Mācību ietekmes novērtējums” minēts, ka tiks funkcionāli pilnveidota Mācību pārvaldības sistēma, lai to izmantotu profesionālās pilnveides pasākumu ietekmes mērīšanai, mācību kvalitātes novērtēšanai un noteiktu rezultatīvo rādītāju uzskaitei, uzkrājot precīzus datus par dalībniekiem un mācībām, kā arī ieviesta jaudīga un interaktīva mācību platforma. </w:t>
            </w:r>
            <w:r w:rsidRPr="0057685D">
              <w:rPr>
                <w:iCs/>
              </w:rPr>
              <w:t>Lūdzam  precizēt, vai minētā platforma attieksies uz visu publisko valsts pārvaldi vai tikai uz tiešo valsts pārvaldi.</w:t>
            </w:r>
          </w:p>
        </w:tc>
        <w:tc>
          <w:tcPr>
            <w:tcW w:w="3427" w:type="dxa"/>
            <w:gridSpan w:val="2"/>
            <w:tcBorders>
              <w:left w:val="single" w:sz="6" w:space="0" w:color="000000" w:themeColor="text1"/>
              <w:bottom w:val="single" w:sz="4" w:space="0" w:color="auto"/>
              <w:right w:val="single" w:sz="6" w:space="0" w:color="000000" w:themeColor="text1"/>
            </w:tcBorders>
          </w:tcPr>
          <w:p w14:paraId="67E72325" w14:textId="74A36768" w:rsidR="003D4D50" w:rsidRPr="003A00FA" w:rsidRDefault="003D4D50" w:rsidP="003D4D50">
            <w:pPr>
              <w:jc w:val="both"/>
              <w:rPr>
                <w:b/>
              </w:rPr>
            </w:pPr>
            <w:r w:rsidRPr="003A00FA">
              <w:rPr>
                <w:b/>
              </w:rPr>
              <w:lastRenderedPageBreak/>
              <w:t>Uzskatāms par saskaņotu e</w:t>
            </w:r>
            <w:r w:rsidR="003A00FA">
              <w:rPr>
                <w:b/>
              </w:rPr>
              <w:t>lektroniskās saskaņošanas laikā</w:t>
            </w:r>
          </w:p>
          <w:p w14:paraId="1E09CAE1" w14:textId="77777777" w:rsidR="003D4D50" w:rsidRDefault="003D4D50" w:rsidP="003D4D50">
            <w:pPr>
              <w:pStyle w:val="naisc"/>
              <w:spacing w:before="0" w:after="0"/>
              <w:jc w:val="both"/>
              <w:rPr>
                <w:b/>
                <w:bCs/>
              </w:rPr>
            </w:pPr>
          </w:p>
          <w:p w14:paraId="78B8E2F1" w14:textId="77777777" w:rsidR="003D4D50" w:rsidRDefault="003D4D50" w:rsidP="003D4D50">
            <w:pPr>
              <w:pStyle w:val="naisc"/>
              <w:spacing w:before="0" w:after="0"/>
              <w:jc w:val="both"/>
              <w:rPr>
                <w:b/>
                <w:bCs/>
              </w:rPr>
            </w:pPr>
          </w:p>
          <w:p w14:paraId="0E76B041" w14:textId="0B5E29B7" w:rsidR="003D4D50" w:rsidRPr="005A0F1E" w:rsidRDefault="003D4D50" w:rsidP="003D4D50">
            <w:pPr>
              <w:pStyle w:val="naisc"/>
              <w:spacing w:before="0" w:after="0"/>
              <w:jc w:val="both"/>
              <w:rPr>
                <w:b/>
                <w:bCs/>
              </w:rPr>
            </w:pPr>
            <w:r>
              <w:t xml:space="preserve"> </w:t>
            </w:r>
          </w:p>
        </w:tc>
        <w:tc>
          <w:tcPr>
            <w:tcW w:w="1934" w:type="dxa"/>
            <w:tcBorders>
              <w:top w:val="single" w:sz="4" w:space="0" w:color="auto"/>
              <w:left w:val="single" w:sz="4" w:space="0" w:color="auto"/>
              <w:bottom w:val="single" w:sz="4" w:space="0" w:color="auto"/>
            </w:tcBorders>
          </w:tcPr>
          <w:p w14:paraId="7A54565F" w14:textId="376797C2" w:rsidR="003D4D50" w:rsidRDefault="003D4D50" w:rsidP="003D4D50">
            <w:pPr>
              <w:jc w:val="both"/>
            </w:pPr>
            <w:r>
              <w:t>Skat. Plāna projekta 4.1. sadaļu, 4.pielikumu.</w:t>
            </w:r>
          </w:p>
        </w:tc>
      </w:tr>
      <w:tr w:rsidR="003D4D50" w:rsidRPr="00712B66" w14:paraId="41EED21D" w14:textId="77777777" w:rsidTr="7E8539FD">
        <w:tc>
          <w:tcPr>
            <w:tcW w:w="673" w:type="dxa"/>
            <w:tcBorders>
              <w:left w:val="single" w:sz="6" w:space="0" w:color="000000" w:themeColor="text1"/>
              <w:bottom w:val="single" w:sz="4" w:space="0" w:color="auto"/>
              <w:right w:val="single" w:sz="6" w:space="0" w:color="000000" w:themeColor="text1"/>
            </w:tcBorders>
          </w:tcPr>
          <w:p w14:paraId="0519C41D" w14:textId="23B78BB2" w:rsidR="003D4D50" w:rsidRDefault="00F76D07" w:rsidP="003D4D50">
            <w:pPr>
              <w:pStyle w:val="naisc"/>
              <w:spacing w:before="0" w:after="0"/>
            </w:pPr>
            <w:r>
              <w:t>51</w:t>
            </w:r>
            <w:r w:rsidR="003D4D50">
              <w:t>.</w:t>
            </w:r>
          </w:p>
        </w:tc>
        <w:tc>
          <w:tcPr>
            <w:tcW w:w="1835" w:type="dxa"/>
            <w:tcBorders>
              <w:left w:val="single" w:sz="6" w:space="0" w:color="000000" w:themeColor="text1"/>
              <w:bottom w:val="single" w:sz="4" w:space="0" w:color="auto"/>
              <w:right w:val="single" w:sz="6" w:space="0" w:color="000000" w:themeColor="text1"/>
            </w:tcBorders>
          </w:tcPr>
          <w:p w14:paraId="48853BBD" w14:textId="34918051" w:rsidR="003D4D50" w:rsidRDefault="003D4D50" w:rsidP="003D4D50">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0B16F9F2" w14:textId="77777777" w:rsidR="003D4D50" w:rsidRDefault="003D4D50" w:rsidP="003D4D50">
            <w:pPr>
              <w:pStyle w:val="naisc"/>
              <w:spacing w:before="0" w:after="0"/>
              <w:rPr>
                <w:b/>
              </w:rPr>
            </w:pPr>
            <w:r>
              <w:rPr>
                <w:b/>
              </w:rPr>
              <w:t>Latvijas Pašvaldību savienība</w:t>
            </w:r>
          </w:p>
          <w:p w14:paraId="0B7F674C" w14:textId="77777777" w:rsidR="003D4D50" w:rsidRDefault="003D4D50" w:rsidP="003D4D50">
            <w:pPr>
              <w:pStyle w:val="naisc"/>
              <w:spacing w:before="0" w:after="0"/>
            </w:pPr>
            <w:r>
              <w:t>(12.01.2021. iebildums)</w:t>
            </w:r>
          </w:p>
          <w:p w14:paraId="78C23005" w14:textId="77777777" w:rsidR="003D4D50" w:rsidRDefault="003D4D50" w:rsidP="003D4D50">
            <w:pPr>
              <w:jc w:val="both"/>
            </w:pPr>
          </w:p>
          <w:p w14:paraId="3A51AC22" w14:textId="704E3F77" w:rsidR="003D4D50" w:rsidRPr="000C47C4" w:rsidRDefault="003D4D50" w:rsidP="003D4D50">
            <w:pPr>
              <w:jc w:val="both"/>
            </w:pPr>
            <w:r w:rsidRPr="000C47C4">
              <w:t>Plāna projektā vairākkārtēji piesaukta, Administratīvi teritoriālā reforma 2021. gadā. Plāna projekts nosaka, ka pašvaldībām jāparedz līdzekļi un savu darbinieku laiks, lai sasniegtu stratēģijā noteiktos mērķus. Jau šobrīd var prognozēt, ka nesaņemot papildus informāciju pašvaldībām ikdienā svarīgos jautājumos, kas saistīti ar Administratīvi teritoriālās reformas faktisko īstenošanu, darbiniekus būs grūti motivēt iesaistīties mācībās, kuras nevarēs atvieglot viņu ikdienas izaicinājumus, jeb – stratēģijā prognozētais apmācīto darbinieku skaits nebūs sasniegts un līdzekļi programmu izstrā</w:t>
            </w:r>
            <w:r>
              <w:t xml:space="preserve">dei būs iztērēti nelietderīgi. </w:t>
            </w:r>
          </w:p>
        </w:tc>
        <w:tc>
          <w:tcPr>
            <w:tcW w:w="3427" w:type="dxa"/>
            <w:gridSpan w:val="2"/>
            <w:tcBorders>
              <w:left w:val="single" w:sz="6" w:space="0" w:color="000000" w:themeColor="text1"/>
              <w:bottom w:val="single" w:sz="4" w:space="0" w:color="auto"/>
              <w:right w:val="single" w:sz="6" w:space="0" w:color="000000" w:themeColor="text1"/>
            </w:tcBorders>
          </w:tcPr>
          <w:p w14:paraId="46515508" w14:textId="77777777" w:rsidR="003D4D50" w:rsidRDefault="003D4D50" w:rsidP="003D4D50">
            <w:pPr>
              <w:pStyle w:val="naisc"/>
              <w:spacing w:before="0" w:after="0"/>
              <w:jc w:val="both"/>
              <w:rPr>
                <w:b/>
                <w:bCs/>
              </w:rPr>
            </w:pPr>
            <w:r w:rsidRPr="004453BE">
              <w:rPr>
                <w:b/>
                <w:bCs/>
              </w:rPr>
              <w:t>Ņemts vērā</w:t>
            </w:r>
          </w:p>
          <w:p w14:paraId="77841F92" w14:textId="77777777" w:rsidR="003D4D50" w:rsidRDefault="003D4D50" w:rsidP="003D4D50">
            <w:pPr>
              <w:pStyle w:val="naisc"/>
              <w:spacing w:before="0" w:after="0"/>
              <w:jc w:val="both"/>
              <w:rPr>
                <w:b/>
                <w:bCs/>
              </w:rPr>
            </w:pPr>
          </w:p>
          <w:p w14:paraId="6A457276" w14:textId="305BFBDD" w:rsidR="003D4D50" w:rsidRPr="004453BE" w:rsidRDefault="003D4D50" w:rsidP="003D4D50">
            <w:pPr>
              <w:pStyle w:val="naisc"/>
              <w:spacing w:before="0" w:after="0"/>
              <w:jc w:val="both"/>
            </w:pPr>
            <w:r>
              <w:t>Iebildums ir pārrunāts ar Latvijas Pašvaldību savienību, ir panākta vienošanās, ka pašvaldību iestādes Plāna projekta kontekstā ir sadarbības iestādes, tādējādi saglabājot savu autonomiju.</w:t>
            </w:r>
          </w:p>
        </w:tc>
        <w:tc>
          <w:tcPr>
            <w:tcW w:w="1934" w:type="dxa"/>
            <w:tcBorders>
              <w:top w:val="single" w:sz="4" w:space="0" w:color="auto"/>
              <w:left w:val="single" w:sz="4" w:space="0" w:color="auto"/>
              <w:bottom w:val="single" w:sz="4" w:space="0" w:color="auto"/>
            </w:tcBorders>
          </w:tcPr>
          <w:p w14:paraId="0544F81B" w14:textId="742323B2" w:rsidR="003D4D50" w:rsidRPr="00712B66" w:rsidRDefault="003D4D50" w:rsidP="003D4D50">
            <w:pPr>
              <w:jc w:val="both"/>
            </w:pPr>
            <w:r>
              <w:t>Skat. Plāna projekta 2. pielikumu.</w:t>
            </w:r>
          </w:p>
        </w:tc>
      </w:tr>
      <w:tr w:rsidR="003D4D50" w:rsidRPr="00712B66" w14:paraId="165C0068" w14:textId="77777777" w:rsidTr="7E8539FD">
        <w:tc>
          <w:tcPr>
            <w:tcW w:w="673" w:type="dxa"/>
            <w:tcBorders>
              <w:left w:val="single" w:sz="6" w:space="0" w:color="000000" w:themeColor="text1"/>
              <w:bottom w:val="single" w:sz="4" w:space="0" w:color="auto"/>
              <w:right w:val="single" w:sz="6" w:space="0" w:color="000000" w:themeColor="text1"/>
            </w:tcBorders>
          </w:tcPr>
          <w:p w14:paraId="41D79027" w14:textId="1726A288" w:rsidR="003D4D50" w:rsidRDefault="00F76D07" w:rsidP="003D4D50">
            <w:pPr>
              <w:pStyle w:val="naisc"/>
              <w:spacing w:before="0" w:after="0"/>
            </w:pPr>
            <w:r>
              <w:t>52</w:t>
            </w:r>
            <w:r w:rsidR="003D4D50">
              <w:t>.</w:t>
            </w:r>
          </w:p>
        </w:tc>
        <w:tc>
          <w:tcPr>
            <w:tcW w:w="1835" w:type="dxa"/>
            <w:tcBorders>
              <w:left w:val="single" w:sz="6" w:space="0" w:color="000000" w:themeColor="text1"/>
              <w:bottom w:val="single" w:sz="4" w:space="0" w:color="auto"/>
              <w:right w:val="single" w:sz="6" w:space="0" w:color="000000" w:themeColor="text1"/>
            </w:tcBorders>
          </w:tcPr>
          <w:p w14:paraId="05C1EFF4" w14:textId="233BBDCF" w:rsidR="003D4D50" w:rsidRDefault="003D4D50" w:rsidP="003D4D50">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427F2BC4" w14:textId="77777777" w:rsidR="003D4D50" w:rsidRDefault="003D4D50" w:rsidP="003D4D50">
            <w:pPr>
              <w:pStyle w:val="naisc"/>
              <w:spacing w:before="0" w:after="0"/>
              <w:rPr>
                <w:b/>
              </w:rPr>
            </w:pPr>
            <w:r>
              <w:rPr>
                <w:b/>
              </w:rPr>
              <w:t>Latvijas Pašvaldību savienība</w:t>
            </w:r>
          </w:p>
          <w:p w14:paraId="23BED340" w14:textId="77777777" w:rsidR="003D4D50" w:rsidRDefault="003D4D50" w:rsidP="003D4D50">
            <w:pPr>
              <w:pStyle w:val="naisc"/>
              <w:spacing w:before="0" w:after="0"/>
            </w:pPr>
            <w:r>
              <w:t>(12.01.2021. iebildums)</w:t>
            </w:r>
          </w:p>
          <w:p w14:paraId="71E1C51B" w14:textId="77777777" w:rsidR="003D4D50" w:rsidRDefault="003D4D50" w:rsidP="003D4D50">
            <w:pPr>
              <w:pStyle w:val="naisc"/>
              <w:spacing w:before="0" w:after="0"/>
              <w:rPr>
                <w:b/>
              </w:rPr>
            </w:pPr>
          </w:p>
          <w:p w14:paraId="7C1F1790" w14:textId="22CE1CEC" w:rsidR="003D4D50" w:rsidRPr="000C47C4" w:rsidRDefault="003D4D50" w:rsidP="003D4D50">
            <w:pPr>
              <w:pStyle w:val="naisc"/>
              <w:spacing w:before="0" w:after="0"/>
              <w:jc w:val="both"/>
            </w:pPr>
            <w:r w:rsidRPr="000C47C4">
              <w:t xml:space="preserve">Plāna projekts tiks apstiprināts ar Ministru kabineta rīkojuma projektu. Vēršam uzmanību uz to, ka Ministru kabineta rīkojuma projekts atkarībā no tā satura ir vai nu administratīvais akts (individuāls vai vispārīgs), vai pārvaldes lēmums. </w:t>
            </w:r>
            <w:r w:rsidRPr="000C47C4">
              <w:rPr>
                <w:i/>
                <w:iCs/>
              </w:rPr>
              <w:t xml:space="preserve"> “Pašvaldības ir atvasinātas publiska</w:t>
            </w:r>
            <w:r w:rsidR="00F76D07">
              <w:rPr>
                <w:i/>
                <w:iCs/>
              </w:rPr>
              <w:t>s personas (</w:t>
            </w:r>
            <w:r w:rsidRPr="000C47C4">
              <w:rPr>
                <w:i/>
                <w:iCs/>
              </w:rPr>
              <w:t xml:space="preserve">Valsts pārvaldes iekārtas likuma 1.panta 2.punkts), un to institucionālo sistēmu nosaka Valsts pārvaldes iekārtas likums, bet atsevišķas pašvaldību institucionālās sistēmas īpatnības  paredz arī likums “Par pašvaldībām” [..]. Valsts pārvaldes iekārtas likuma 8. panta ceturtā daļa noteic, ka “pašvaldība, pildot  valsts pārvaldes funkcijas, kas saskaņā ar likumu nodotas tās autonomā kompetencē, atrodas Ministru </w:t>
            </w:r>
            <w:r w:rsidRPr="000C47C4">
              <w:rPr>
                <w:i/>
                <w:iCs/>
              </w:rPr>
              <w:lastRenderedPageBreak/>
              <w:t>kabineta pārraudzībā likumā “Par pašvaldībām” noteiktajā kārtībā un apjomā”. Kaut arī pašvaldības ir padotas Ministru kabinetam, Ministru kabineta padotības tvērums  par pašvaldību darbību  attiecībā uz tās autonomajām funkcijām  ir izsmeļoši noteikt likumā “Par pašvaldībām”.”</w:t>
            </w:r>
            <w:r w:rsidRPr="000C47C4">
              <w:rPr>
                <w:i/>
                <w:iCs/>
                <w:vertAlign w:val="superscript"/>
              </w:rPr>
              <w:footnoteReference w:id="2"/>
            </w:r>
            <w:r w:rsidRPr="000C47C4">
              <w:rPr>
                <w:i/>
                <w:iCs/>
              </w:rPr>
              <w:t xml:space="preserve">. </w:t>
            </w:r>
            <w:r w:rsidRPr="000C47C4">
              <w:t xml:space="preserve">Pašvaldības personāla politika un apmācības ir pašvaldības autonoma kompetence. Tā plāno savus resursus atbilstoši pieejamajam budžetam. Tas nozīmē, ka pašvaldības šajā plānā nevar tikt iekļautas kā atbildīgās vai līdzatbildīgās institūcijas, līdz ar to, šīs plāns pašvaldībām ir rekomendējošs. </w:t>
            </w:r>
          </w:p>
        </w:tc>
        <w:tc>
          <w:tcPr>
            <w:tcW w:w="3427" w:type="dxa"/>
            <w:gridSpan w:val="2"/>
            <w:tcBorders>
              <w:left w:val="single" w:sz="6" w:space="0" w:color="000000" w:themeColor="text1"/>
              <w:bottom w:val="single" w:sz="4" w:space="0" w:color="auto"/>
              <w:right w:val="single" w:sz="6" w:space="0" w:color="000000" w:themeColor="text1"/>
            </w:tcBorders>
          </w:tcPr>
          <w:p w14:paraId="1186E2D4" w14:textId="69293415" w:rsidR="003D4D50" w:rsidRDefault="003D4D50" w:rsidP="003D4D50">
            <w:pPr>
              <w:pStyle w:val="naisc"/>
              <w:spacing w:before="0" w:after="0"/>
              <w:jc w:val="both"/>
              <w:rPr>
                <w:b/>
                <w:bCs/>
              </w:rPr>
            </w:pPr>
            <w:r w:rsidRPr="00EF600F">
              <w:rPr>
                <w:b/>
                <w:bCs/>
              </w:rPr>
              <w:lastRenderedPageBreak/>
              <w:t>Ņemts vērā</w:t>
            </w:r>
          </w:p>
          <w:p w14:paraId="6CC00914" w14:textId="77777777" w:rsidR="003D4D50" w:rsidRPr="00EF600F" w:rsidRDefault="003D4D50" w:rsidP="003D4D50">
            <w:pPr>
              <w:pStyle w:val="naisc"/>
              <w:spacing w:before="0" w:after="0"/>
              <w:jc w:val="both"/>
              <w:rPr>
                <w:b/>
                <w:bCs/>
              </w:rPr>
            </w:pPr>
          </w:p>
          <w:p w14:paraId="4FD7EACB" w14:textId="59549F03" w:rsidR="003D4D50" w:rsidRPr="00712B66" w:rsidRDefault="003D4D50" w:rsidP="003D4D50">
            <w:pPr>
              <w:pStyle w:val="naisc"/>
              <w:spacing w:before="0" w:after="0"/>
              <w:jc w:val="both"/>
            </w:pPr>
            <w:r>
              <w:t>Iebildums ir pārrunāts ar Latvijas Pašvaldību savienību, ir panākta vienošanās, ka pašvaldību iestādes Plāna projekta kontekstā ir sadarbības iestādes, tādējādi saglabājot savu autonomiju.</w:t>
            </w:r>
          </w:p>
        </w:tc>
        <w:tc>
          <w:tcPr>
            <w:tcW w:w="1934" w:type="dxa"/>
            <w:tcBorders>
              <w:top w:val="single" w:sz="4" w:space="0" w:color="auto"/>
              <w:left w:val="single" w:sz="4" w:space="0" w:color="auto"/>
              <w:bottom w:val="single" w:sz="4" w:space="0" w:color="auto"/>
            </w:tcBorders>
          </w:tcPr>
          <w:p w14:paraId="295754C6" w14:textId="7A01D6F1" w:rsidR="003D4D50" w:rsidRPr="00712B66" w:rsidRDefault="003D4D50" w:rsidP="003D4D50">
            <w:pPr>
              <w:jc w:val="both"/>
            </w:pPr>
            <w:r>
              <w:t>Skat. Plāna projekta 2. pielikumu.</w:t>
            </w:r>
          </w:p>
        </w:tc>
      </w:tr>
      <w:tr w:rsidR="003D4D50" w:rsidRPr="00712B66" w14:paraId="3FAFA2A1" w14:textId="77777777" w:rsidTr="7E8539FD">
        <w:tc>
          <w:tcPr>
            <w:tcW w:w="673" w:type="dxa"/>
            <w:tcBorders>
              <w:left w:val="single" w:sz="6" w:space="0" w:color="000000" w:themeColor="text1"/>
              <w:bottom w:val="single" w:sz="4" w:space="0" w:color="auto"/>
              <w:right w:val="single" w:sz="6" w:space="0" w:color="000000" w:themeColor="text1"/>
            </w:tcBorders>
          </w:tcPr>
          <w:p w14:paraId="18F7392E" w14:textId="70C97DE2" w:rsidR="003D4D50" w:rsidRDefault="00F76D07" w:rsidP="003D4D50">
            <w:pPr>
              <w:pStyle w:val="naisc"/>
              <w:spacing w:before="0" w:after="0"/>
            </w:pPr>
            <w:r>
              <w:t>53</w:t>
            </w:r>
            <w:r w:rsidR="003D4D50">
              <w:t>.</w:t>
            </w:r>
          </w:p>
        </w:tc>
        <w:tc>
          <w:tcPr>
            <w:tcW w:w="1835" w:type="dxa"/>
            <w:tcBorders>
              <w:left w:val="single" w:sz="6" w:space="0" w:color="000000" w:themeColor="text1"/>
              <w:bottom w:val="single" w:sz="4" w:space="0" w:color="auto"/>
              <w:right w:val="single" w:sz="6" w:space="0" w:color="000000" w:themeColor="text1"/>
            </w:tcBorders>
          </w:tcPr>
          <w:p w14:paraId="5F59562D" w14:textId="5DE877C3" w:rsidR="003D4D50" w:rsidRDefault="003D4D50" w:rsidP="003D4D50">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6ABAF7F1" w14:textId="77777777" w:rsidR="003D4D50" w:rsidRDefault="003D4D50" w:rsidP="003D4D50">
            <w:pPr>
              <w:pStyle w:val="naisc"/>
              <w:spacing w:before="0" w:after="0"/>
              <w:rPr>
                <w:b/>
              </w:rPr>
            </w:pPr>
            <w:r>
              <w:rPr>
                <w:b/>
              </w:rPr>
              <w:t>Latvijas Pašvaldību savienība</w:t>
            </w:r>
          </w:p>
          <w:p w14:paraId="21C6D383" w14:textId="77777777" w:rsidR="003D4D50" w:rsidRDefault="003D4D50" w:rsidP="003D4D50">
            <w:pPr>
              <w:pStyle w:val="naisc"/>
              <w:spacing w:before="0" w:after="0"/>
            </w:pPr>
            <w:r>
              <w:t>(12.01.2021. iebildums)</w:t>
            </w:r>
          </w:p>
          <w:p w14:paraId="665DBCD9" w14:textId="77777777" w:rsidR="003D4D50" w:rsidRDefault="003D4D50" w:rsidP="003D4D50">
            <w:pPr>
              <w:pStyle w:val="naisc"/>
              <w:spacing w:before="0" w:after="0"/>
              <w:rPr>
                <w:b/>
              </w:rPr>
            </w:pPr>
          </w:p>
          <w:p w14:paraId="014BEC98" w14:textId="435B2DD9" w:rsidR="003D4D50" w:rsidRPr="000C47C4" w:rsidRDefault="003D4D50" w:rsidP="003D4D50">
            <w:pPr>
              <w:pStyle w:val="naisc"/>
              <w:spacing w:before="0" w:after="0"/>
              <w:jc w:val="both"/>
            </w:pPr>
            <w:r w:rsidRPr="000C47C4">
              <w:t>Būtiski būtu stratēģijā ietvert  laika  grafiku, kur atspoguļoti konkrēti stratēģijas īstenošanas posmi/ procesi/ aktivitātes un atbildīgās institūcijas, lai sasniegtu un īstenotu stratēģijā minētos mērķus publiskajā pārvaldē nodarbināto mācīšanās attīstībā.</w:t>
            </w:r>
          </w:p>
        </w:tc>
        <w:tc>
          <w:tcPr>
            <w:tcW w:w="3427" w:type="dxa"/>
            <w:gridSpan w:val="2"/>
            <w:tcBorders>
              <w:left w:val="single" w:sz="6" w:space="0" w:color="000000" w:themeColor="text1"/>
              <w:bottom w:val="single" w:sz="4" w:space="0" w:color="auto"/>
              <w:right w:val="single" w:sz="6" w:space="0" w:color="000000" w:themeColor="text1"/>
            </w:tcBorders>
          </w:tcPr>
          <w:p w14:paraId="58C03A71" w14:textId="5C31B33A" w:rsidR="003D4D50" w:rsidRPr="00282BA6" w:rsidRDefault="003D4D50" w:rsidP="003D4D50">
            <w:pPr>
              <w:pStyle w:val="naisc"/>
              <w:spacing w:before="0" w:after="0"/>
              <w:jc w:val="both"/>
              <w:rPr>
                <w:b/>
                <w:bCs/>
              </w:rPr>
            </w:pPr>
            <w:r w:rsidRPr="00282BA6">
              <w:rPr>
                <w:b/>
                <w:bCs/>
              </w:rPr>
              <w:t>Ņemts vērā</w:t>
            </w:r>
          </w:p>
        </w:tc>
        <w:tc>
          <w:tcPr>
            <w:tcW w:w="1934" w:type="dxa"/>
            <w:tcBorders>
              <w:top w:val="single" w:sz="4" w:space="0" w:color="auto"/>
              <w:left w:val="single" w:sz="4" w:space="0" w:color="auto"/>
              <w:bottom w:val="single" w:sz="4" w:space="0" w:color="auto"/>
            </w:tcBorders>
          </w:tcPr>
          <w:p w14:paraId="618ED5DE" w14:textId="166DD07C" w:rsidR="003D4D50" w:rsidRPr="00712B66" w:rsidRDefault="003D4D50" w:rsidP="003D4D50">
            <w:pPr>
              <w:jc w:val="both"/>
            </w:pPr>
            <w:r>
              <w:t>Skat. Plāna projekta 2. pielikumu.</w:t>
            </w:r>
          </w:p>
        </w:tc>
      </w:tr>
      <w:tr w:rsidR="003D4D50" w:rsidRPr="00712B66" w14:paraId="223B9E24" w14:textId="77777777" w:rsidTr="7E8539FD">
        <w:tc>
          <w:tcPr>
            <w:tcW w:w="673" w:type="dxa"/>
            <w:tcBorders>
              <w:left w:val="single" w:sz="6" w:space="0" w:color="000000" w:themeColor="text1"/>
              <w:bottom w:val="single" w:sz="4" w:space="0" w:color="auto"/>
              <w:right w:val="single" w:sz="6" w:space="0" w:color="000000" w:themeColor="text1"/>
            </w:tcBorders>
          </w:tcPr>
          <w:p w14:paraId="3EC77DC9" w14:textId="7F509287" w:rsidR="003D4D50" w:rsidRDefault="00F76D07" w:rsidP="003D4D50">
            <w:pPr>
              <w:pStyle w:val="naisc"/>
              <w:spacing w:before="0" w:after="0"/>
            </w:pPr>
            <w:r>
              <w:t>54</w:t>
            </w:r>
            <w:r w:rsidR="003D4D50">
              <w:t>.</w:t>
            </w:r>
          </w:p>
        </w:tc>
        <w:tc>
          <w:tcPr>
            <w:tcW w:w="1835" w:type="dxa"/>
            <w:tcBorders>
              <w:left w:val="single" w:sz="6" w:space="0" w:color="000000" w:themeColor="text1"/>
              <w:bottom w:val="single" w:sz="4" w:space="0" w:color="auto"/>
              <w:right w:val="single" w:sz="6" w:space="0" w:color="000000" w:themeColor="text1"/>
            </w:tcBorders>
          </w:tcPr>
          <w:p w14:paraId="063152CD" w14:textId="22110ED5" w:rsidR="003D4D50" w:rsidRDefault="003D4D50" w:rsidP="003D4D50">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63ACFED6" w14:textId="77777777" w:rsidR="003D4D50" w:rsidRDefault="003D4D50" w:rsidP="003D4D50">
            <w:pPr>
              <w:pStyle w:val="naisc"/>
              <w:spacing w:before="0" w:after="0"/>
              <w:rPr>
                <w:b/>
              </w:rPr>
            </w:pPr>
            <w:r>
              <w:rPr>
                <w:b/>
              </w:rPr>
              <w:t>Latvijas Pašvaldību savienība</w:t>
            </w:r>
          </w:p>
          <w:p w14:paraId="7EB9450F" w14:textId="77777777" w:rsidR="003D4D50" w:rsidRDefault="003D4D50" w:rsidP="003D4D50">
            <w:pPr>
              <w:pStyle w:val="naisc"/>
              <w:spacing w:before="0" w:after="0"/>
            </w:pPr>
            <w:r>
              <w:t>(12.01.2021. iebildums)</w:t>
            </w:r>
          </w:p>
          <w:p w14:paraId="1BFAA863" w14:textId="77777777" w:rsidR="003D4D50" w:rsidRDefault="003D4D50" w:rsidP="003D4D50">
            <w:pPr>
              <w:pStyle w:val="naisc"/>
              <w:spacing w:before="0" w:after="0"/>
              <w:rPr>
                <w:b/>
              </w:rPr>
            </w:pPr>
          </w:p>
          <w:p w14:paraId="2D424097" w14:textId="1D0676B9" w:rsidR="003D4D50" w:rsidRPr="000C47C4" w:rsidRDefault="003D4D50" w:rsidP="003D4D50">
            <w:pPr>
              <w:pStyle w:val="naisc"/>
              <w:spacing w:before="0" w:after="0"/>
              <w:jc w:val="both"/>
            </w:pPr>
            <w:r w:rsidRPr="000C47C4">
              <w:t xml:space="preserve">Nav skaidrs, kādēļ Valsts administrācijas skola neparedz piesaistīt Latvijas pašvaldību mācību centra izveidoto “iekšējo treneru un mentoru tīklu”. Pašvaldības, līdz šim, ir apmeklējušas apmācības arī Valsts administrācijas skolā. Tomēr, tās līdzšinējais kursu un moduļu piedāvājums ir bijis orientēts uz valsts pārvaldi un ierēdņiem. Vēlamies uzsvērt, ka pašvaldības sastāv ne tikai no administrācijas. Tās struktūrās ir gan izglītības iestādes, gan kultūras iestādes, gan bibliotēkas, gan ārstniecības iestādes, gan pašvaldības policija un virkne citu jomu institūciju. Vismaz pēdējos 5 gadus, Valsts administrācijas skolas piedāvājumā tikai atsevišķi kursi bija attiecināmi uz šo iestāžu darbiniekiem. Arī pašvaldības administrācijas darbiniekiem reti, kad ir bijusi iespēja izmantot Valsts administrācijas skolas piedāvājumu, jo nav </w:t>
            </w:r>
            <w:r w:rsidRPr="000C47C4">
              <w:lastRenderedPageBreak/>
              <w:t xml:space="preserve">mācību, kas būtu saistītas ar profesionālo zināšanu pilnveidi – grāmatvedībā, ceļu uzturēšanā, kapitāla daļu pārvaldības vai īres tiesību jautājumos u.c. LPS ieskatā, izstrādājot apmācību moduļus un noskaidrojot apmācību vajadzības, cieši sadarboties ar Latvijas Pašvaldību mācību centru (LPMC). LPMC jau ir pieredze no 2016. gada sadarbībā ar Valsts bērnu tiesību aizsardzības centru – izstrādājot programmu moduļus, aprobējot un šobrīd nodrošinot mācības. Tāpat aicinām izmantot arī citu pašvaldību dibināto mācību centru ilggadīgo darba pieredzi, labo praksi šajā jomā un esošo mūsdienīgo resursu bāzi (Jelgava, Dobele, Ventspils, u.c.). Ņemot vērā paredzamo plašo darba apjomu un nozīmīgumu, plānot un deleģēt uzdevumus arī esošajiem pašvaldību mācību centriem, kas nodrošinātu būtisku ieguldījumu personalizētas pieejas īstenošanā, atbilstoši vietējās pašvaldības un reģiona mācību un attīstības vajadzībām. </w:t>
            </w:r>
            <w:r w:rsidRPr="0038590C">
              <w:t>Lūdzam rast iespēju nodrošināt, ka daļa no plānotā finansējuma, tajā skaitā, struktūrfondu finansējuma, tiek sadalīta tādējādi, ka arī LPMC un citi reģionālie mācību centri var iegūt šo finansējumu, lai nodrošinātu pašvaldību darbiniekiem un amatpersonām fokusētas apmācības.</w:t>
            </w:r>
          </w:p>
        </w:tc>
        <w:tc>
          <w:tcPr>
            <w:tcW w:w="3427" w:type="dxa"/>
            <w:gridSpan w:val="2"/>
            <w:tcBorders>
              <w:left w:val="single" w:sz="6" w:space="0" w:color="000000" w:themeColor="text1"/>
              <w:bottom w:val="single" w:sz="4" w:space="0" w:color="auto"/>
              <w:right w:val="single" w:sz="6" w:space="0" w:color="000000" w:themeColor="text1"/>
            </w:tcBorders>
          </w:tcPr>
          <w:p w14:paraId="54C2AC1F" w14:textId="4D9113AE" w:rsidR="003D4D50" w:rsidRDefault="003D4D50" w:rsidP="003D4D50">
            <w:pPr>
              <w:pStyle w:val="naisc"/>
              <w:spacing w:before="0" w:after="0"/>
              <w:jc w:val="both"/>
              <w:rPr>
                <w:b/>
                <w:bCs/>
              </w:rPr>
            </w:pPr>
            <w:r w:rsidRPr="00282BA6">
              <w:rPr>
                <w:b/>
                <w:bCs/>
              </w:rPr>
              <w:lastRenderedPageBreak/>
              <w:t>Ņemts vērā</w:t>
            </w:r>
          </w:p>
          <w:p w14:paraId="223D9014" w14:textId="77777777" w:rsidR="003D4D50" w:rsidRDefault="003D4D50" w:rsidP="003D4D50">
            <w:pPr>
              <w:pStyle w:val="naisc"/>
              <w:spacing w:before="0" w:after="0"/>
              <w:jc w:val="both"/>
              <w:rPr>
                <w:b/>
                <w:bCs/>
              </w:rPr>
            </w:pPr>
          </w:p>
          <w:p w14:paraId="61B4AA95" w14:textId="7D2216CC" w:rsidR="003D4D50" w:rsidRPr="00282BA6" w:rsidRDefault="003D4D50" w:rsidP="003D4D50">
            <w:pPr>
              <w:pStyle w:val="naisc"/>
              <w:spacing w:before="0" w:after="0"/>
              <w:jc w:val="both"/>
              <w:rPr>
                <w:b/>
                <w:bCs/>
              </w:rPr>
            </w:pPr>
            <w:r>
              <w:t>Iebildums ir pārrunāts ar Latvijas Pašvaldību savienību. Plāna projekts ir papildināts par sadarbību ar Latvijas pašvaldību mācību centru un citiem centriem. Pārrunās tika panākta savstarpējā izpratne par finansējumu, ko LPS neuztur.</w:t>
            </w:r>
          </w:p>
        </w:tc>
        <w:tc>
          <w:tcPr>
            <w:tcW w:w="1934" w:type="dxa"/>
            <w:tcBorders>
              <w:top w:val="single" w:sz="4" w:space="0" w:color="auto"/>
              <w:left w:val="single" w:sz="4" w:space="0" w:color="auto"/>
              <w:bottom w:val="single" w:sz="4" w:space="0" w:color="auto"/>
            </w:tcBorders>
          </w:tcPr>
          <w:p w14:paraId="6B010C23" w14:textId="7F4C2FAF" w:rsidR="003D4D50" w:rsidRPr="00712B66" w:rsidRDefault="003D4D50" w:rsidP="003D4D50">
            <w:pPr>
              <w:jc w:val="both"/>
            </w:pPr>
            <w:r>
              <w:t>Skat Plāna projekta 4.1. sadaļu.</w:t>
            </w:r>
          </w:p>
        </w:tc>
      </w:tr>
      <w:tr w:rsidR="003D4D50" w:rsidRPr="00712B66" w14:paraId="6521A266" w14:textId="77777777" w:rsidTr="7E8539FD">
        <w:tc>
          <w:tcPr>
            <w:tcW w:w="673" w:type="dxa"/>
            <w:tcBorders>
              <w:left w:val="single" w:sz="6" w:space="0" w:color="000000" w:themeColor="text1"/>
              <w:bottom w:val="single" w:sz="4" w:space="0" w:color="auto"/>
              <w:right w:val="single" w:sz="6" w:space="0" w:color="000000" w:themeColor="text1"/>
            </w:tcBorders>
          </w:tcPr>
          <w:p w14:paraId="6EE3E5A6" w14:textId="4741B940" w:rsidR="003D4D50" w:rsidRDefault="00F76D07" w:rsidP="003D4D50">
            <w:pPr>
              <w:pStyle w:val="naisc"/>
              <w:spacing w:before="0" w:after="0"/>
            </w:pPr>
            <w:r>
              <w:t>55</w:t>
            </w:r>
            <w:r w:rsidR="003D4D50">
              <w:t>.</w:t>
            </w:r>
          </w:p>
        </w:tc>
        <w:tc>
          <w:tcPr>
            <w:tcW w:w="1835" w:type="dxa"/>
            <w:tcBorders>
              <w:left w:val="single" w:sz="6" w:space="0" w:color="000000" w:themeColor="text1"/>
              <w:bottom w:val="single" w:sz="4" w:space="0" w:color="auto"/>
              <w:right w:val="single" w:sz="6" w:space="0" w:color="000000" w:themeColor="text1"/>
            </w:tcBorders>
          </w:tcPr>
          <w:p w14:paraId="37EDF3B0" w14:textId="11A0D557" w:rsidR="003D4D50" w:rsidRDefault="003D4D50" w:rsidP="003D4D50">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249B512E" w14:textId="77777777" w:rsidR="003D4D50" w:rsidRDefault="003D4D50" w:rsidP="003D4D50">
            <w:pPr>
              <w:pStyle w:val="naisc"/>
              <w:spacing w:before="0" w:after="0"/>
              <w:rPr>
                <w:b/>
              </w:rPr>
            </w:pPr>
            <w:r>
              <w:rPr>
                <w:b/>
              </w:rPr>
              <w:t>Latvijas Pašvaldību savienība</w:t>
            </w:r>
          </w:p>
          <w:p w14:paraId="75860795" w14:textId="77777777" w:rsidR="003D4D50" w:rsidRDefault="003D4D50" w:rsidP="003D4D50">
            <w:pPr>
              <w:pStyle w:val="naisc"/>
              <w:spacing w:before="0" w:after="0"/>
            </w:pPr>
            <w:r>
              <w:t>(12.01.2021. iebildums)</w:t>
            </w:r>
          </w:p>
          <w:p w14:paraId="1C055A45" w14:textId="77777777" w:rsidR="003D4D50" w:rsidRDefault="003D4D50" w:rsidP="003D4D50">
            <w:pPr>
              <w:pStyle w:val="naisc"/>
              <w:spacing w:before="0" w:after="0"/>
              <w:rPr>
                <w:b/>
              </w:rPr>
            </w:pPr>
          </w:p>
          <w:p w14:paraId="7AE66C88" w14:textId="77777777" w:rsidR="003D4D50" w:rsidRPr="000C47C4" w:rsidRDefault="003D4D50" w:rsidP="003D4D50">
            <w:pPr>
              <w:jc w:val="both"/>
            </w:pPr>
            <w:r w:rsidRPr="000C47C4">
              <w:t>Vienlaikus, ja plāna projektu plānots attiecināt arī uz pašvaldībām, plāna projektā būtu papildināms ar šādu risinājumu un atbildams arī uz šādiem jautājumiem:</w:t>
            </w:r>
          </w:p>
          <w:p w14:paraId="3EAA78FC" w14:textId="086B808E" w:rsidR="003D4D50" w:rsidRPr="000C47C4" w:rsidRDefault="003D4D50" w:rsidP="003D4D50">
            <w:pPr>
              <w:jc w:val="both"/>
              <w:rPr>
                <w:lang w:eastAsia="en-US"/>
              </w:rPr>
            </w:pPr>
            <w:r w:rsidRPr="000C47C4">
              <w:rPr>
                <w:lang w:eastAsia="en-US"/>
              </w:rPr>
              <w:t xml:space="preserve">Attiecībā uz digitālajām prasmēm - jāveido apmācību mērķgrupas - iesācējs, lietotājs, speciālists. Katrai mērķgrupai jāpielāgo sava mācību programma, jo runāt vienā auditorijā ar iesācējiem un ar speciālistiem nav produktīvi. Atbalstām, ka ir jāaktualizē digitālo aģentu (cilvēks, kas spēj efektīvi strādāt ar e-pakalpojumiem) tīkls. Šiem darbiniekiem jābūt gan kā mentoriem savas pašvaldības kolēģiem, gan kā mentoriem un palīgiem novada iedzīvotājiem. Vērtējot šo jautājumu no budžeta plānošanas puses, svarīgi zināt, vai un kāds, cik ilgā termiņā ir plānots </w:t>
            </w:r>
            <w:r w:rsidRPr="000C47C4">
              <w:rPr>
                <w:lang w:eastAsia="en-US"/>
              </w:rPr>
              <w:lastRenderedPageBreak/>
              <w:t>atbalsts no valsts puses pašvaldības darbinieku digitālo prasmju paaugstināšanai. </w:t>
            </w:r>
          </w:p>
        </w:tc>
        <w:tc>
          <w:tcPr>
            <w:tcW w:w="3427" w:type="dxa"/>
            <w:gridSpan w:val="2"/>
            <w:tcBorders>
              <w:left w:val="single" w:sz="6" w:space="0" w:color="000000" w:themeColor="text1"/>
              <w:bottom w:val="single" w:sz="4" w:space="0" w:color="auto"/>
              <w:right w:val="single" w:sz="6" w:space="0" w:color="000000" w:themeColor="text1"/>
            </w:tcBorders>
          </w:tcPr>
          <w:p w14:paraId="3D46771E" w14:textId="77777777" w:rsidR="003D4D50" w:rsidRDefault="003D4D50" w:rsidP="003D4D50">
            <w:pPr>
              <w:pStyle w:val="naisc"/>
              <w:spacing w:before="0" w:after="0"/>
              <w:jc w:val="both"/>
              <w:rPr>
                <w:b/>
                <w:bCs/>
              </w:rPr>
            </w:pPr>
            <w:r w:rsidRPr="00282BA6">
              <w:rPr>
                <w:b/>
                <w:bCs/>
              </w:rPr>
              <w:lastRenderedPageBreak/>
              <w:t>Ņemts vērā</w:t>
            </w:r>
          </w:p>
          <w:p w14:paraId="53548F64" w14:textId="77777777" w:rsidR="003D4D50" w:rsidRDefault="003D4D50" w:rsidP="003D4D50">
            <w:pPr>
              <w:pStyle w:val="naisc"/>
              <w:spacing w:before="0" w:after="0"/>
              <w:jc w:val="both"/>
              <w:rPr>
                <w:b/>
                <w:bCs/>
              </w:rPr>
            </w:pPr>
          </w:p>
          <w:p w14:paraId="2CF0316B" w14:textId="1E55728E" w:rsidR="003D4D50" w:rsidRPr="00712B66" w:rsidRDefault="003D4D50" w:rsidP="003D4D50">
            <w:pPr>
              <w:pStyle w:val="naisc"/>
              <w:spacing w:before="0" w:after="0"/>
              <w:jc w:val="both"/>
            </w:pPr>
          </w:p>
        </w:tc>
        <w:tc>
          <w:tcPr>
            <w:tcW w:w="1934" w:type="dxa"/>
            <w:tcBorders>
              <w:top w:val="single" w:sz="4" w:space="0" w:color="auto"/>
              <w:left w:val="single" w:sz="4" w:space="0" w:color="auto"/>
              <w:bottom w:val="single" w:sz="4" w:space="0" w:color="auto"/>
            </w:tcBorders>
          </w:tcPr>
          <w:p w14:paraId="15A48F7E" w14:textId="51962022" w:rsidR="003D4D50" w:rsidRPr="00712B66" w:rsidRDefault="003D4D50" w:rsidP="003D4D50">
            <w:pPr>
              <w:jc w:val="both"/>
            </w:pPr>
            <w:r>
              <w:t>Skat. Plāna projekta 5. pielikumu.</w:t>
            </w:r>
          </w:p>
        </w:tc>
      </w:tr>
      <w:tr w:rsidR="003D4D50" w:rsidRPr="00712B66" w14:paraId="587B6054" w14:textId="77777777" w:rsidTr="7E8539FD">
        <w:tc>
          <w:tcPr>
            <w:tcW w:w="673" w:type="dxa"/>
            <w:tcBorders>
              <w:left w:val="single" w:sz="6" w:space="0" w:color="000000" w:themeColor="text1"/>
              <w:bottom w:val="single" w:sz="4" w:space="0" w:color="auto"/>
              <w:right w:val="single" w:sz="6" w:space="0" w:color="000000" w:themeColor="text1"/>
            </w:tcBorders>
          </w:tcPr>
          <w:p w14:paraId="5F574C66" w14:textId="47A52116" w:rsidR="003D4D50" w:rsidRDefault="00F76D07" w:rsidP="003D4D50">
            <w:pPr>
              <w:pStyle w:val="naisc"/>
              <w:spacing w:before="0" w:after="0"/>
            </w:pPr>
            <w:r>
              <w:t>56</w:t>
            </w:r>
            <w:r w:rsidR="003D4D50">
              <w:t>.</w:t>
            </w:r>
          </w:p>
        </w:tc>
        <w:tc>
          <w:tcPr>
            <w:tcW w:w="1835" w:type="dxa"/>
            <w:tcBorders>
              <w:left w:val="single" w:sz="6" w:space="0" w:color="000000" w:themeColor="text1"/>
              <w:bottom w:val="single" w:sz="4" w:space="0" w:color="auto"/>
              <w:right w:val="single" w:sz="6" w:space="0" w:color="000000" w:themeColor="text1"/>
            </w:tcBorders>
          </w:tcPr>
          <w:p w14:paraId="331AD8D2" w14:textId="7DFDBBD2" w:rsidR="003D4D50" w:rsidRDefault="003D4D50" w:rsidP="003D4D50">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31DDCFF9" w14:textId="77777777" w:rsidR="003D4D50" w:rsidRDefault="003D4D50" w:rsidP="003D4D50">
            <w:pPr>
              <w:pStyle w:val="naisc"/>
              <w:spacing w:before="0" w:after="0"/>
              <w:rPr>
                <w:b/>
              </w:rPr>
            </w:pPr>
            <w:r>
              <w:rPr>
                <w:b/>
              </w:rPr>
              <w:t>Latvijas Pašvaldību savienība</w:t>
            </w:r>
          </w:p>
          <w:p w14:paraId="25804C37" w14:textId="77777777" w:rsidR="003D4D50" w:rsidRDefault="003D4D50" w:rsidP="003D4D50">
            <w:pPr>
              <w:pStyle w:val="naisc"/>
              <w:spacing w:before="0" w:after="0"/>
            </w:pPr>
            <w:r>
              <w:t>(12.01.2021. iebildums)</w:t>
            </w:r>
          </w:p>
          <w:p w14:paraId="7924026A" w14:textId="77777777" w:rsidR="003D4D50" w:rsidRDefault="003D4D50" w:rsidP="003D4D50">
            <w:pPr>
              <w:pStyle w:val="naisc"/>
              <w:spacing w:before="0" w:after="0"/>
              <w:rPr>
                <w:b/>
              </w:rPr>
            </w:pPr>
          </w:p>
          <w:p w14:paraId="757DA40D" w14:textId="77777777" w:rsidR="003D4D50" w:rsidRPr="000C47C4" w:rsidRDefault="003D4D50" w:rsidP="003D4D50">
            <w:pPr>
              <w:jc w:val="both"/>
            </w:pPr>
            <w:r w:rsidRPr="000C47C4">
              <w:t>Vienlaikus, ja plāna projektu plānots attiecināt arī uz pašvaldībām, plāna projektā būtu papildināms ar šādu risinājumu un atbildams arī uz šādiem jautājumiem:</w:t>
            </w:r>
          </w:p>
          <w:p w14:paraId="27FCBC1E" w14:textId="5BDE6FDC" w:rsidR="003D4D50" w:rsidRPr="000C47C4" w:rsidRDefault="003D4D50" w:rsidP="003D4D50">
            <w:pPr>
              <w:pStyle w:val="naisc"/>
              <w:spacing w:before="0" w:after="0"/>
              <w:jc w:val="both"/>
            </w:pPr>
            <w:r w:rsidRPr="000C47C4">
              <w:t>Par finanšu resursiem nodarbināto tālākizglītošanā. Katras pašvaldības finanšu resursi ir dažādi, vai pašvaldības spēs apmaksāt nodarbināto tālākizglītošanu valsts noteiktajās programmās, apjomā utt.? Kas apmaksās specifiskās un specializētās (konkrētai pašvaldībai nepieciešamās) mācību programmas?</w:t>
            </w:r>
          </w:p>
        </w:tc>
        <w:tc>
          <w:tcPr>
            <w:tcW w:w="3427" w:type="dxa"/>
            <w:gridSpan w:val="2"/>
            <w:tcBorders>
              <w:left w:val="single" w:sz="6" w:space="0" w:color="000000" w:themeColor="text1"/>
              <w:bottom w:val="single" w:sz="4" w:space="0" w:color="auto"/>
              <w:right w:val="single" w:sz="6" w:space="0" w:color="000000" w:themeColor="text1"/>
            </w:tcBorders>
          </w:tcPr>
          <w:p w14:paraId="00DA16C1" w14:textId="48F2498A" w:rsidR="003D4D50" w:rsidRPr="0065325D" w:rsidRDefault="003D4D50" w:rsidP="003D4D50">
            <w:pPr>
              <w:pStyle w:val="naisc"/>
              <w:spacing w:before="0" w:after="0"/>
              <w:jc w:val="both"/>
              <w:rPr>
                <w:b/>
                <w:bCs/>
              </w:rPr>
            </w:pPr>
            <w:r w:rsidRPr="0065325D">
              <w:rPr>
                <w:b/>
                <w:bCs/>
              </w:rPr>
              <w:t>Ņemts vērā</w:t>
            </w:r>
          </w:p>
          <w:p w14:paraId="3B7E3C40" w14:textId="77777777" w:rsidR="003D4D50" w:rsidRDefault="003D4D50" w:rsidP="003D4D50">
            <w:pPr>
              <w:pStyle w:val="naisc"/>
              <w:spacing w:before="0" w:after="0"/>
              <w:jc w:val="both"/>
            </w:pPr>
          </w:p>
          <w:p w14:paraId="12EEBD3E" w14:textId="225DA3B6" w:rsidR="003D4D50" w:rsidRDefault="003D4D50" w:rsidP="003D4D50">
            <w:pPr>
              <w:pStyle w:val="naisc"/>
              <w:spacing w:before="0" w:after="0"/>
              <w:jc w:val="both"/>
            </w:pPr>
            <w:r>
              <w:t>Iebildums ir pārrunāts ar Latvijas Pašvaldību savienību, ir panākta vienošanās, ka pašvaldību iestādes Plāna projekta kontekstā ir sadarbības iestādes, tādējādi saglabājot savu autonomiju.</w:t>
            </w:r>
          </w:p>
          <w:p w14:paraId="57520154" w14:textId="77777777" w:rsidR="003D4D50" w:rsidRDefault="003D4D50" w:rsidP="003D4D50">
            <w:pPr>
              <w:pStyle w:val="naisc"/>
              <w:spacing w:before="0" w:after="0"/>
              <w:jc w:val="both"/>
            </w:pPr>
          </w:p>
          <w:p w14:paraId="25C99DD9" w14:textId="0009C7F7" w:rsidR="003D4D50" w:rsidRPr="00712B66" w:rsidRDefault="003D4D50" w:rsidP="003D4D50">
            <w:pPr>
              <w:pStyle w:val="naisc"/>
              <w:spacing w:before="0" w:after="0"/>
              <w:jc w:val="both"/>
            </w:pPr>
            <w:r>
              <w:t>Pašvaldībām tiek saglabāta autonomija specifisko mācību attīstības pasākumu īstenošanā.</w:t>
            </w:r>
          </w:p>
        </w:tc>
        <w:tc>
          <w:tcPr>
            <w:tcW w:w="1934" w:type="dxa"/>
            <w:tcBorders>
              <w:top w:val="single" w:sz="4" w:space="0" w:color="auto"/>
              <w:left w:val="single" w:sz="4" w:space="0" w:color="auto"/>
              <w:bottom w:val="single" w:sz="4" w:space="0" w:color="auto"/>
            </w:tcBorders>
          </w:tcPr>
          <w:p w14:paraId="42B9443B" w14:textId="36B46A43" w:rsidR="003D4D50" w:rsidRPr="00712B66" w:rsidRDefault="003D4D50" w:rsidP="003D4D50">
            <w:pPr>
              <w:jc w:val="both"/>
            </w:pPr>
            <w:r>
              <w:t>Skat. Plāna projekta 4.1. sadaļu.</w:t>
            </w:r>
          </w:p>
        </w:tc>
      </w:tr>
      <w:tr w:rsidR="003D4D50" w:rsidRPr="00712B66" w14:paraId="190CD188" w14:textId="77777777" w:rsidTr="7E8539FD">
        <w:tc>
          <w:tcPr>
            <w:tcW w:w="673" w:type="dxa"/>
            <w:tcBorders>
              <w:left w:val="single" w:sz="6" w:space="0" w:color="000000" w:themeColor="text1"/>
              <w:bottom w:val="single" w:sz="4" w:space="0" w:color="auto"/>
              <w:right w:val="single" w:sz="6" w:space="0" w:color="000000" w:themeColor="text1"/>
            </w:tcBorders>
          </w:tcPr>
          <w:p w14:paraId="3C2D41E3" w14:textId="1E107C9D" w:rsidR="003D4D50" w:rsidRDefault="00F76D07" w:rsidP="003D4D50">
            <w:pPr>
              <w:pStyle w:val="naisc"/>
              <w:spacing w:before="0" w:after="0"/>
            </w:pPr>
            <w:r>
              <w:t>57</w:t>
            </w:r>
            <w:r w:rsidR="003D4D50">
              <w:t>.</w:t>
            </w:r>
          </w:p>
        </w:tc>
        <w:tc>
          <w:tcPr>
            <w:tcW w:w="1835" w:type="dxa"/>
            <w:tcBorders>
              <w:left w:val="single" w:sz="6" w:space="0" w:color="000000" w:themeColor="text1"/>
              <w:bottom w:val="single" w:sz="4" w:space="0" w:color="auto"/>
              <w:right w:val="single" w:sz="6" w:space="0" w:color="000000" w:themeColor="text1"/>
            </w:tcBorders>
          </w:tcPr>
          <w:p w14:paraId="2F458139" w14:textId="3802D7A3" w:rsidR="003D4D50" w:rsidRDefault="003D4D50" w:rsidP="003D4D50">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45F89BC4" w14:textId="77777777" w:rsidR="003D4D50" w:rsidRDefault="003D4D50" w:rsidP="003D4D50">
            <w:pPr>
              <w:pStyle w:val="naisc"/>
              <w:spacing w:before="0" w:after="0"/>
              <w:rPr>
                <w:b/>
              </w:rPr>
            </w:pPr>
            <w:r>
              <w:rPr>
                <w:b/>
              </w:rPr>
              <w:t>Latvijas Pašvaldību savienība</w:t>
            </w:r>
          </w:p>
          <w:p w14:paraId="6D7C9A79" w14:textId="77777777" w:rsidR="003D4D50" w:rsidRDefault="003D4D50" w:rsidP="003D4D50">
            <w:pPr>
              <w:pStyle w:val="naisc"/>
              <w:spacing w:before="0" w:after="0"/>
            </w:pPr>
            <w:r>
              <w:t>(12.01.2021. iebildums)</w:t>
            </w:r>
          </w:p>
          <w:p w14:paraId="3E365D4E" w14:textId="77777777" w:rsidR="003D4D50" w:rsidRDefault="003D4D50" w:rsidP="003D4D50">
            <w:pPr>
              <w:pStyle w:val="naisc"/>
              <w:spacing w:before="0" w:after="0"/>
            </w:pPr>
          </w:p>
          <w:p w14:paraId="101AE6D5" w14:textId="77777777" w:rsidR="003D4D50" w:rsidRPr="000C47C4" w:rsidRDefault="003D4D50" w:rsidP="003D4D50">
            <w:pPr>
              <w:jc w:val="both"/>
            </w:pPr>
            <w:r w:rsidRPr="000C47C4">
              <w:t>Vienlaikus, ja plāna projektu plānots attiecināt arī uz pašvaldībām, plāna projektā būtu papildināms ar šādu risinājumu un atbildams arī uz šādiem jautājumiem:</w:t>
            </w:r>
          </w:p>
          <w:p w14:paraId="187B46CB" w14:textId="0BFCD165" w:rsidR="003D4D50" w:rsidRPr="000C47C4" w:rsidRDefault="003D4D50" w:rsidP="003D4D50">
            <w:pPr>
              <w:pStyle w:val="naisc"/>
              <w:spacing w:before="0" w:after="0"/>
              <w:jc w:val="both"/>
            </w:pPr>
            <w:r w:rsidRPr="000C47C4">
              <w:t>Kādā veidā tiks apzinātas un apkopotas mācību vajadzības pašvaldībās? Vai pirms stratēģijas ieviešanas nebūtu laiks padomāt par vienotu valsts pārvaldes un pašvaldību darbinieku darba rezultātu un kompetenču novērtēšanas modeli?</w:t>
            </w:r>
          </w:p>
        </w:tc>
        <w:tc>
          <w:tcPr>
            <w:tcW w:w="3427" w:type="dxa"/>
            <w:gridSpan w:val="2"/>
            <w:tcBorders>
              <w:left w:val="single" w:sz="6" w:space="0" w:color="000000" w:themeColor="text1"/>
              <w:bottom w:val="single" w:sz="4" w:space="0" w:color="auto"/>
              <w:right w:val="single" w:sz="6" w:space="0" w:color="000000" w:themeColor="text1"/>
            </w:tcBorders>
          </w:tcPr>
          <w:p w14:paraId="01B22932" w14:textId="77777777" w:rsidR="003D4D50" w:rsidRDefault="003D4D50" w:rsidP="003D4D50">
            <w:pPr>
              <w:pStyle w:val="naisc"/>
              <w:spacing w:before="0" w:after="0"/>
              <w:jc w:val="both"/>
              <w:rPr>
                <w:b/>
                <w:bCs/>
              </w:rPr>
            </w:pPr>
            <w:r w:rsidRPr="0065325D">
              <w:rPr>
                <w:b/>
                <w:bCs/>
              </w:rPr>
              <w:t>Ņemts vērā</w:t>
            </w:r>
          </w:p>
          <w:p w14:paraId="61EBC5A7" w14:textId="77777777" w:rsidR="003D4D50" w:rsidRDefault="003D4D50" w:rsidP="003D4D50">
            <w:pPr>
              <w:pStyle w:val="naisc"/>
              <w:spacing w:before="0" w:after="0"/>
              <w:jc w:val="both"/>
              <w:rPr>
                <w:b/>
                <w:bCs/>
              </w:rPr>
            </w:pPr>
          </w:p>
          <w:p w14:paraId="4C57A07A" w14:textId="48A2C343" w:rsidR="003D4D50" w:rsidRPr="0065325D" w:rsidRDefault="003D4D50" w:rsidP="003D4D50">
            <w:pPr>
              <w:pStyle w:val="naisc"/>
              <w:spacing w:before="0" w:after="0"/>
              <w:jc w:val="both"/>
              <w:rPr>
                <w:b/>
                <w:bCs/>
              </w:rPr>
            </w:pPr>
            <w:r>
              <w:t>Iebildums ir pārrunāts ar Latvijas Pašvaldību savienību, ir panākta vienošanās, ka turpmāk ar  pašvaldībām tiks veidota sadarbība šo jautājumu risināšanā. Iebildums netiek uzturēts.</w:t>
            </w:r>
          </w:p>
        </w:tc>
        <w:tc>
          <w:tcPr>
            <w:tcW w:w="1934" w:type="dxa"/>
            <w:tcBorders>
              <w:top w:val="single" w:sz="4" w:space="0" w:color="auto"/>
              <w:left w:val="single" w:sz="4" w:space="0" w:color="auto"/>
              <w:bottom w:val="single" w:sz="4" w:space="0" w:color="auto"/>
            </w:tcBorders>
          </w:tcPr>
          <w:p w14:paraId="58B45424" w14:textId="77777777" w:rsidR="003D4D50" w:rsidRPr="00712B66" w:rsidRDefault="003D4D50" w:rsidP="003D4D50">
            <w:pPr>
              <w:jc w:val="both"/>
            </w:pPr>
          </w:p>
        </w:tc>
      </w:tr>
      <w:tr w:rsidR="003D4D50" w:rsidRPr="00712B66" w14:paraId="70EBDE68" w14:textId="77777777" w:rsidTr="7E8539FD">
        <w:tc>
          <w:tcPr>
            <w:tcW w:w="673" w:type="dxa"/>
            <w:tcBorders>
              <w:left w:val="single" w:sz="6" w:space="0" w:color="000000" w:themeColor="text1"/>
              <w:bottom w:val="single" w:sz="4" w:space="0" w:color="auto"/>
              <w:right w:val="single" w:sz="6" w:space="0" w:color="000000" w:themeColor="text1"/>
            </w:tcBorders>
          </w:tcPr>
          <w:p w14:paraId="339FA914" w14:textId="25E0D90B" w:rsidR="003D4D50" w:rsidRDefault="00F76D07" w:rsidP="003D4D50">
            <w:pPr>
              <w:pStyle w:val="naisc"/>
              <w:spacing w:before="0" w:after="0"/>
            </w:pPr>
            <w:r>
              <w:t>58</w:t>
            </w:r>
            <w:r w:rsidR="003D4D50">
              <w:t>.</w:t>
            </w:r>
          </w:p>
        </w:tc>
        <w:tc>
          <w:tcPr>
            <w:tcW w:w="1835" w:type="dxa"/>
            <w:tcBorders>
              <w:left w:val="single" w:sz="6" w:space="0" w:color="000000" w:themeColor="text1"/>
              <w:bottom w:val="single" w:sz="4" w:space="0" w:color="auto"/>
              <w:right w:val="single" w:sz="6" w:space="0" w:color="000000" w:themeColor="text1"/>
            </w:tcBorders>
          </w:tcPr>
          <w:p w14:paraId="0F2621C9" w14:textId="511D41AB" w:rsidR="003D4D50" w:rsidRDefault="003D4D50" w:rsidP="003D4D50">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603EFFDA" w14:textId="77777777" w:rsidR="003D4D50" w:rsidRDefault="003D4D50" w:rsidP="003D4D50">
            <w:pPr>
              <w:pStyle w:val="naisc"/>
              <w:spacing w:before="0" w:after="0"/>
              <w:rPr>
                <w:b/>
              </w:rPr>
            </w:pPr>
            <w:r>
              <w:rPr>
                <w:b/>
              </w:rPr>
              <w:t>Latvijas Pašvaldību savienība</w:t>
            </w:r>
          </w:p>
          <w:p w14:paraId="6BEA3D9C" w14:textId="77777777" w:rsidR="003D4D50" w:rsidRDefault="003D4D50" w:rsidP="003D4D50">
            <w:pPr>
              <w:pStyle w:val="naisc"/>
              <w:spacing w:before="0" w:after="0"/>
            </w:pPr>
            <w:r>
              <w:t>(12.01.2021. iebildums)</w:t>
            </w:r>
          </w:p>
          <w:p w14:paraId="700B7730" w14:textId="77777777" w:rsidR="003D4D50" w:rsidRDefault="003D4D50" w:rsidP="003D4D50">
            <w:pPr>
              <w:pStyle w:val="naisc"/>
              <w:spacing w:before="0" w:after="0"/>
              <w:rPr>
                <w:b/>
              </w:rPr>
            </w:pPr>
          </w:p>
          <w:p w14:paraId="545D312B" w14:textId="77777777" w:rsidR="003D4D50" w:rsidRPr="000C47C4" w:rsidRDefault="003D4D50" w:rsidP="003D4D50">
            <w:pPr>
              <w:jc w:val="both"/>
            </w:pPr>
            <w:r w:rsidRPr="000C47C4">
              <w:t>Vienlaikus, ja plāna projektu plānots attiecināt arī uz pašvaldībām, plāna projektā būtu papildināms ar šādu risinājumu un atbildams arī uz šādiem jautājumiem:</w:t>
            </w:r>
          </w:p>
          <w:p w14:paraId="44EAD45E" w14:textId="163424D3" w:rsidR="003D4D50" w:rsidRPr="000C47C4" w:rsidRDefault="003D4D50" w:rsidP="003D4D50">
            <w:pPr>
              <w:jc w:val="both"/>
            </w:pPr>
            <w:r w:rsidRPr="000C47C4">
              <w:t>Speciālistu sertifikācijas jautājums. Vai netiks mākslīgi radīti mehānismi, lai veiktu speciālistu sertifikāciju, līdz ar to ierobežojot pašvaldību speciālistu darbu.</w:t>
            </w:r>
          </w:p>
        </w:tc>
        <w:tc>
          <w:tcPr>
            <w:tcW w:w="3427" w:type="dxa"/>
            <w:gridSpan w:val="2"/>
            <w:tcBorders>
              <w:left w:val="single" w:sz="6" w:space="0" w:color="000000" w:themeColor="text1"/>
              <w:bottom w:val="single" w:sz="4" w:space="0" w:color="auto"/>
              <w:right w:val="single" w:sz="6" w:space="0" w:color="000000" w:themeColor="text1"/>
            </w:tcBorders>
          </w:tcPr>
          <w:p w14:paraId="79CFADB6" w14:textId="77777777" w:rsidR="003D4D50" w:rsidRDefault="003D4D50" w:rsidP="003D4D50">
            <w:pPr>
              <w:pStyle w:val="naisc"/>
              <w:spacing w:before="0" w:after="0"/>
              <w:jc w:val="both"/>
              <w:rPr>
                <w:b/>
                <w:bCs/>
              </w:rPr>
            </w:pPr>
            <w:r w:rsidRPr="0065325D">
              <w:rPr>
                <w:b/>
                <w:bCs/>
              </w:rPr>
              <w:t>Ņemts vērā</w:t>
            </w:r>
          </w:p>
          <w:p w14:paraId="2F480F23" w14:textId="77777777" w:rsidR="003D4D50" w:rsidRDefault="003D4D50" w:rsidP="003D4D50">
            <w:pPr>
              <w:pStyle w:val="naisc"/>
              <w:spacing w:before="0" w:after="0"/>
              <w:jc w:val="both"/>
              <w:rPr>
                <w:b/>
                <w:bCs/>
              </w:rPr>
            </w:pPr>
          </w:p>
          <w:p w14:paraId="7FE1E466" w14:textId="049CE0E5" w:rsidR="003D4D50" w:rsidRPr="00712B66" w:rsidRDefault="003D4D50" w:rsidP="003D4D50">
            <w:pPr>
              <w:pStyle w:val="naisc"/>
              <w:spacing w:before="0" w:after="0"/>
              <w:jc w:val="both"/>
            </w:pPr>
            <w:r>
              <w:t>Iebildums ir pārrunāts ar Latvijas Pašvaldību savienību, iebildums netiek uzturēts.</w:t>
            </w:r>
          </w:p>
        </w:tc>
        <w:tc>
          <w:tcPr>
            <w:tcW w:w="1934" w:type="dxa"/>
            <w:tcBorders>
              <w:top w:val="single" w:sz="4" w:space="0" w:color="auto"/>
              <w:left w:val="single" w:sz="4" w:space="0" w:color="auto"/>
              <w:bottom w:val="single" w:sz="4" w:space="0" w:color="auto"/>
            </w:tcBorders>
          </w:tcPr>
          <w:p w14:paraId="18041D7C" w14:textId="77777777" w:rsidR="003D4D50" w:rsidRPr="00712B66" w:rsidRDefault="003D4D50" w:rsidP="003D4D50">
            <w:pPr>
              <w:jc w:val="both"/>
            </w:pPr>
          </w:p>
        </w:tc>
      </w:tr>
      <w:tr w:rsidR="003D4D50" w:rsidRPr="00712B66" w14:paraId="4FDAA965" w14:textId="77777777" w:rsidTr="7E8539FD">
        <w:tc>
          <w:tcPr>
            <w:tcW w:w="673" w:type="dxa"/>
            <w:tcBorders>
              <w:left w:val="single" w:sz="6" w:space="0" w:color="000000" w:themeColor="text1"/>
              <w:bottom w:val="single" w:sz="4" w:space="0" w:color="auto"/>
              <w:right w:val="single" w:sz="6" w:space="0" w:color="000000" w:themeColor="text1"/>
            </w:tcBorders>
          </w:tcPr>
          <w:p w14:paraId="2EEB0782" w14:textId="38A34317" w:rsidR="003D4D50" w:rsidRDefault="00F76D07" w:rsidP="003D4D50">
            <w:pPr>
              <w:pStyle w:val="naisc"/>
              <w:spacing w:before="0" w:after="0"/>
            </w:pPr>
            <w:r>
              <w:lastRenderedPageBreak/>
              <w:t>59</w:t>
            </w:r>
            <w:r w:rsidR="003D4D50">
              <w:t>.</w:t>
            </w:r>
          </w:p>
        </w:tc>
        <w:tc>
          <w:tcPr>
            <w:tcW w:w="1835" w:type="dxa"/>
            <w:tcBorders>
              <w:left w:val="single" w:sz="6" w:space="0" w:color="000000" w:themeColor="text1"/>
              <w:bottom w:val="single" w:sz="4" w:space="0" w:color="auto"/>
              <w:right w:val="single" w:sz="6" w:space="0" w:color="000000" w:themeColor="text1"/>
            </w:tcBorders>
          </w:tcPr>
          <w:p w14:paraId="098BD5E1" w14:textId="6288BFEF" w:rsidR="003D4D50" w:rsidRDefault="003D4D50" w:rsidP="003D4D50">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025205EB" w14:textId="366EB3E5" w:rsidR="003D4D50" w:rsidRDefault="003D4D50" w:rsidP="003D4D50">
            <w:pPr>
              <w:pStyle w:val="naisc"/>
              <w:spacing w:before="0" w:after="0"/>
              <w:rPr>
                <w:b/>
              </w:rPr>
            </w:pPr>
            <w:r>
              <w:rPr>
                <w:b/>
              </w:rPr>
              <w:t>Korupcijas novēršanas un apkarošanas birojs</w:t>
            </w:r>
          </w:p>
          <w:p w14:paraId="1FB9BB1A" w14:textId="7DC1444D" w:rsidR="003D4D50" w:rsidRDefault="003D4D50" w:rsidP="003D4D50">
            <w:pPr>
              <w:pStyle w:val="naisc"/>
              <w:spacing w:before="0" w:after="0"/>
            </w:pPr>
            <w:r>
              <w:t>(14.01.2021. iebildums)</w:t>
            </w:r>
          </w:p>
          <w:p w14:paraId="279178DD" w14:textId="77777777" w:rsidR="003D4D50" w:rsidRDefault="003D4D50" w:rsidP="003D4D50">
            <w:pPr>
              <w:pStyle w:val="naisc"/>
              <w:spacing w:before="0" w:after="0"/>
              <w:rPr>
                <w:b/>
              </w:rPr>
            </w:pPr>
          </w:p>
          <w:p w14:paraId="5498CF6F" w14:textId="097DED71" w:rsidR="003D4D50" w:rsidRPr="000C47C4" w:rsidRDefault="003D4D50" w:rsidP="003D4D50">
            <w:pPr>
              <w:jc w:val="both"/>
            </w:pPr>
            <w:r w:rsidRPr="000C47C4">
              <w:t>Plāna projektā ir noteiktas publiskās pārvaldes profesionālās attīstības un mācīšanās stratēģiskās prioritātes periodam no 2021. līdz 2027. gadam. Ņemot vērā apjomīgo stratēģisko prioritāšu īstenošanas periodu, kā arī, lai veicinātu mērķtiecīgu plāna projektā iekļauto pasākumu izpildi, lūdzam plāna projektā paredzēt pasākumu izpildes termiņus.</w:t>
            </w:r>
          </w:p>
        </w:tc>
        <w:tc>
          <w:tcPr>
            <w:tcW w:w="3427" w:type="dxa"/>
            <w:gridSpan w:val="2"/>
            <w:tcBorders>
              <w:left w:val="single" w:sz="6" w:space="0" w:color="000000" w:themeColor="text1"/>
              <w:bottom w:val="single" w:sz="4" w:space="0" w:color="auto"/>
              <w:right w:val="single" w:sz="6" w:space="0" w:color="000000" w:themeColor="text1"/>
            </w:tcBorders>
          </w:tcPr>
          <w:p w14:paraId="055AC618" w14:textId="3FF57D28" w:rsidR="003D4D50" w:rsidRPr="00F42D9E" w:rsidRDefault="003D4D50" w:rsidP="003D4D50">
            <w:pPr>
              <w:pStyle w:val="naisc"/>
              <w:spacing w:before="0" w:after="0"/>
              <w:jc w:val="both"/>
              <w:rPr>
                <w:b/>
                <w:bCs/>
              </w:rPr>
            </w:pPr>
            <w:r w:rsidRPr="00F42D9E">
              <w:rPr>
                <w:b/>
                <w:bCs/>
              </w:rPr>
              <w:t>Ņemts vērā</w:t>
            </w:r>
          </w:p>
        </w:tc>
        <w:tc>
          <w:tcPr>
            <w:tcW w:w="1934" w:type="dxa"/>
            <w:tcBorders>
              <w:top w:val="single" w:sz="4" w:space="0" w:color="auto"/>
              <w:left w:val="single" w:sz="4" w:space="0" w:color="auto"/>
              <w:bottom w:val="single" w:sz="4" w:space="0" w:color="auto"/>
            </w:tcBorders>
          </w:tcPr>
          <w:p w14:paraId="066E485C" w14:textId="4956067E" w:rsidR="003D4D50" w:rsidRPr="00712B66" w:rsidRDefault="003D4D50" w:rsidP="003D4D50">
            <w:pPr>
              <w:jc w:val="both"/>
            </w:pPr>
            <w:r>
              <w:t>Skat. Plāna projekta 2. pielikumu.</w:t>
            </w:r>
          </w:p>
        </w:tc>
      </w:tr>
      <w:tr w:rsidR="003D4D50" w:rsidRPr="00712B66" w14:paraId="3AA9EF71" w14:textId="77777777" w:rsidTr="7E8539FD">
        <w:tc>
          <w:tcPr>
            <w:tcW w:w="673" w:type="dxa"/>
            <w:tcBorders>
              <w:left w:val="single" w:sz="6" w:space="0" w:color="000000" w:themeColor="text1"/>
              <w:bottom w:val="single" w:sz="4" w:space="0" w:color="auto"/>
              <w:right w:val="single" w:sz="6" w:space="0" w:color="000000" w:themeColor="text1"/>
            </w:tcBorders>
          </w:tcPr>
          <w:p w14:paraId="6A830C1F" w14:textId="58CC0863" w:rsidR="003D4D50" w:rsidRDefault="00F76D07" w:rsidP="003D4D50">
            <w:pPr>
              <w:pStyle w:val="naisc"/>
              <w:spacing w:before="0" w:after="0"/>
            </w:pPr>
            <w:r>
              <w:t>60</w:t>
            </w:r>
            <w:r w:rsidR="003D4D50">
              <w:t>.</w:t>
            </w:r>
          </w:p>
        </w:tc>
        <w:tc>
          <w:tcPr>
            <w:tcW w:w="1835" w:type="dxa"/>
            <w:tcBorders>
              <w:left w:val="single" w:sz="6" w:space="0" w:color="000000" w:themeColor="text1"/>
              <w:bottom w:val="single" w:sz="4" w:space="0" w:color="auto"/>
              <w:right w:val="single" w:sz="6" w:space="0" w:color="000000" w:themeColor="text1"/>
            </w:tcBorders>
          </w:tcPr>
          <w:p w14:paraId="4074F567" w14:textId="216213BE" w:rsidR="003D4D50" w:rsidRDefault="003D4D50" w:rsidP="003D4D50">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097873C5" w14:textId="77777777" w:rsidR="003D4D50" w:rsidRDefault="003D4D50" w:rsidP="003D4D50">
            <w:pPr>
              <w:pStyle w:val="naisc"/>
              <w:spacing w:before="0" w:after="0"/>
              <w:rPr>
                <w:b/>
              </w:rPr>
            </w:pPr>
            <w:r>
              <w:rPr>
                <w:b/>
              </w:rPr>
              <w:t>Korupcijas novēršanas un apkarošanas birojs</w:t>
            </w:r>
          </w:p>
          <w:p w14:paraId="3C20976B" w14:textId="6CFDF939" w:rsidR="003D4D50" w:rsidRDefault="003D4D50" w:rsidP="003D4D50">
            <w:pPr>
              <w:pStyle w:val="naisc"/>
              <w:spacing w:before="0" w:after="0"/>
            </w:pPr>
            <w:r>
              <w:t>(14.01.2021. iebildums)</w:t>
            </w:r>
          </w:p>
          <w:p w14:paraId="10BBCD53" w14:textId="67081528" w:rsidR="003D4D50" w:rsidRDefault="003D4D50" w:rsidP="003D4D50">
            <w:pPr>
              <w:pStyle w:val="naisc"/>
              <w:spacing w:before="0" w:after="0"/>
              <w:jc w:val="both"/>
            </w:pPr>
            <w:r>
              <w:t>Rīkojuma projekta 2.punkts nosaka, ka Valsts kanceleja un Valsts administrācijas skola ir atbildīgās institūcijas par plāna projektā iekļauto pasākumu īstenošanu. Savukārt pārējās plāna projektā minētās institūcijas ir noteiktas par līdzatbildīgajām institūcijām, kas atbilstoši kompetencei nodrošina plāna projektā paredzēto pasākumu īstenošanu.</w:t>
            </w:r>
          </w:p>
          <w:p w14:paraId="0FC0979C" w14:textId="77777777" w:rsidR="003D4D50" w:rsidRDefault="003D4D50" w:rsidP="003D4D50">
            <w:pPr>
              <w:pStyle w:val="naisc"/>
              <w:jc w:val="both"/>
            </w:pPr>
            <w:r>
              <w:t xml:space="preserve">Vēršam uzmanību, ka plāna projektā nav uzskaitīti veicamie pasākumi, bet gan noteikti mērķi, kuri pēc būtības ir nepieciešamie pasākumi stratēģisko prioritāšu īstenošanai. Vienlaikus norādām, ka plāna projektā par mērķa izpildi ir noteikta iesaistītā puse, nevis atbildīgā vai līdzatbildīgā institūcija. Proti, plāna projektā un rīkojuma projektā tiek lietota atšķirīga terminoloģija. </w:t>
            </w:r>
          </w:p>
          <w:p w14:paraId="6A8506D3" w14:textId="77777777" w:rsidR="003D4D50" w:rsidRDefault="003D4D50" w:rsidP="003D4D50">
            <w:pPr>
              <w:pStyle w:val="naisc"/>
              <w:jc w:val="both"/>
            </w:pPr>
            <w:r>
              <w:t xml:space="preserve">Tādējādi, pamatojoties uz iepriekš minēto, lūdzam precizēt plāna projektu, nosakot </w:t>
            </w:r>
            <w:r w:rsidRPr="00A10DE3">
              <w:t>veicamos pasākumus stratēģisko prioritāšu īstenošanai</w:t>
            </w:r>
            <w:r>
              <w:t xml:space="preserve"> un atbildīgās un līdzatbildīgās institūcijas par minēto pasākumu izpildi. </w:t>
            </w:r>
          </w:p>
          <w:p w14:paraId="61F738B9" w14:textId="0C63AD9D" w:rsidR="003D4D50" w:rsidRPr="000C47C4" w:rsidRDefault="003D4D50" w:rsidP="003D4D50">
            <w:pPr>
              <w:pStyle w:val="naisc"/>
              <w:spacing w:before="0" w:after="0"/>
              <w:jc w:val="both"/>
            </w:pPr>
            <w:r>
              <w:t>Papildus aicinām precizēt, vai par visu plāna projektā ietverto pasākumu izpildi ir atbildīgas Valsts kanceleja un Valsts administrācijas skola, savukārt pārējās plāna projektā minētās institūcijas ir noteiktas kā līdzatbildīgās institūcijas. Attiecīgi lūdzam veikt nepieciešamos labojumus plāna projektā, kur pie iesaistītajām pusēm vienkopus ir norādītas gan Valsts kanceleja, Valsts administrācijas skola un pārējās institūcijas.</w:t>
            </w:r>
          </w:p>
        </w:tc>
        <w:tc>
          <w:tcPr>
            <w:tcW w:w="3427" w:type="dxa"/>
            <w:gridSpan w:val="2"/>
            <w:tcBorders>
              <w:left w:val="single" w:sz="6" w:space="0" w:color="000000" w:themeColor="text1"/>
              <w:bottom w:val="single" w:sz="4" w:space="0" w:color="auto"/>
              <w:right w:val="single" w:sz="6" w:space="0" w:color="000000" w:themeColor="text1"/>
            </w:tcBorders>
          </w:tcPr>
          <w:p w14:paraId="6447F5E9" w14:textId="3C2DC3F8" w:rsidR="003D4D50" w:rsidRPr="00F42D9E" w:rsidRDefault="003D4D50" w:rsidP="003D4D50">
            <w:pPr>
              <w:pStyle w:val="naisc"/>
              <w:spacing w:before="0" w:after="0"/>
              <w:jc w:val="both"/>
              <w:rPr>
                <w:b/>
                <w:bCs/>
              </w:rPr>
            </w:pPr>
            <w:r w:rsidRPr="00F42D9E">
              <w:rPr>
                <w:b/>
                <w:bCs/>
              </w:rPr>
              <w:t>Ņemts vērā</w:t>
            </w:r>
          </w:p>
        </w:tc>
        <w:tc>
          <w:tcPr>
            <w:tcW w:w="1934" w:type="dxa"/>
            <w:tcBorders>
              <w:top w:val="single" w:sz="4" w:space="0" w:color="auto"/>
              <w:left w:val="single" w:sz="4" w:space="0" w:color="auto"/>
              <w:bottom w:val="single" w:sz="4" w:space="0" w:color="auto"/>
            </w:tcBorders>
          </w:tcPr>
          <w:p w14:paraId="37B1CA48" w14:textId="1A47268F" w:rsidR="003D4D50" w:rsidRPr="00F42D9E" w:rsidRDefault="003D4D50" w:rsidP="003D4D50">
            <w:pPr>
              <w:jc w:val="both"/>
            </w:pPr>
            <w:r>
              <w:t>Skat. Plāna projekta 2. pielikumu.</w:t>
            </w:r>
          </w:p>
        </w:tc>
      </w:tr>
      <w:tr w:rsidR="003D4D50" w:rsidRPr="00712B66" w14:paraId="45E1BF57" w14:textId="77777777" w:rsidTr="7E8539FD">
        <w:tc>
          <w:tcPr>
            <w:tcW w:w="673" w:type="dxa"/>
            <w:tcBorders>
              <w:left w:val="single" w:sz="6" w:space="0" w:color="000000" w:themeColor="text1"/>
              <w:bottom w:val="single" w:sz="4" w:space="0" w:color="auto"/>
              <w:right w:val="single" w:sz="6" w:space="0" w:color="000000" w:themeColor="text1"/>
            </w:tcBorders>
          </w:tcPr>
          <w:p w14:paraId="42D88FE6" w14:textId="63E6B924" w:rsidR="003D4D50" w:rsidRDefault="00F76D07" w:rsidP="003D4D50">
            <w:pPr>
              <w:pStyle w:val="naisc"/>
              <w:spacing w:before="0" w:after="0"/>
            </w:pPr>
            <w:r>
              <w:lastRenderedPageBreak/>
              <w:t>61</w:t>
            </w:r>
            <w:r w:rsidR="003D4D50">
              <w:t>.</w:t>
            </w:r>
          </w:p>
        </w:tc>
        <w:tc>
          <w:tcPr>
            <w:tcW w:w="1835" w:type="dxa"/>
            <w:tcBorders>
              <w:left w:val="single" w:sz="6" w:space="0" w:color="000000" w:themeColor="text1"/>
              <w:bottom w:val="single" w:sz="4" w:space="0" w:color="auto"/>
              <w:right w:val="single" w:sz="6" w:space="0" w:color="000000" w:themeColor="text1"/>
            </w:tcBorders>
          </w:tcPr>
          <w:p w14:paraId="0915345D" w14:textId="311CDB0C" w:rsidR="003D4D50" w:rsidRDefault="003D4D50" w:rsidP="003D4D50">
            <w:pPr>
              <w:pStyle w:val="naisc"/>
              <w:spacing w:before="0" w:after="0"/>
              <w:jc w:val="both"/>
            </w:pPr>
            <w:r>
              <w:t>Skat. Plāna projekta 3. sadaļu.</w:t>
            </w:r>
          </w:p>
        </w:tc>
        <w:tc>
          <w:tcPr>
            <w:tcW w:w="7123" w:type="dxa"/>
            <w:gridSpan w:val="2"/>
            <w:tcBorders>
              <w:left w:val="single" w:sz="6" w:space="0" w:color="000000" w:themeColor="text1"/>
              <w:bottom w:val="single" w:sz="4" w:space="0" w:color="auto"/>
              <w:right w:val="single" w:sz="6" w:space="0" w:color="000000" w:themeColor="text1"/>
            </w:tcBorders>
          </w:tcPr>
          <w:p w14:paraId="6CAEC2FD" w14:textId="77777777" w:rsidR="003D4D50" w:rsidRDefault="003D4D50" w:rsidP="003D4D50">
            <w:pPr>
              <w:pStyle w:val="naisc"/>
              <w:spacing w:before="0" w:after="0"/>
              <w:rPr>
                <w:b/>
              </w:rPr>
            </w:pPr>
            <w:r>
              <w:rPr>
                <w:b/>
              </w:rPr>
              <w:t>Korupcijas novēršanas un apkarošanas birojs</w:t>
            </w:r>
          </w:p>
          <w:p w14:paraId="41FA2DC6" w14:textId="77777777" w:rsidR="003D4D50" w:rsidRDefault="003D4D50" w:rsidP="003D4D50">
            <w:pPr>
              <w:pStyle w:val="naisc"/>
              <w:spacing w:before="0" w:after="0"/>
            </w:pPr>
            <w:r>
              <w:t>(14.01.2021. iebildums)</w:t>
            </w:r>
          </w:p>
          <w:p w14:paraId="35BAEF41" w14:textId="77777777" w:rsidR="003D4D50" w:rsidRDefault="003D4D50" w:rsidP="003D4D50">
            <w:pPr>
              <w:pStyle w:val="naisc"/>
              <w:spacing w:before="0" w:after="0"/>
            </w:pPr>
          </w:p>
          <w:p w14:paraId="6F630870" w14:textId="55D83014" w:rsidR="003D4D50" w:rsidRPr="00F243DA" w:rsidRDefault="003D4D50" w:rsidP="003D4D50">
            <w:pPr>
              <w:pStyle w:val="naisc"/>
              <w:spacing w:before="0" w:after="0"/>
              <w:jc w:val="both"/>
            </w:pPr>
            <w:r w:rsidRPr="00F243DA">
              <w:t>Plāna projekta 1. stratēģiskās prioritātes “Godprātīgs darbs publiskajā pārvaldē” 3.1.5. mērķis paredz uzlabot iepirkumu sagatavošanu un īstenošanu efektīvai Kohēzijas politikas īstenošanai. Minētā mērķa īstenošanā iesaistītās puses ir Finanšu ministrija, Valsts kanceleja, Valsts administrācijas skola un Iepirkumu uzraudzības birojs.</w:t>
            </w:r>
          </w:p>
          <w:p w14:paraId="45479E9B" w14:textId="77777777" w:rsidR="003D4D50" w:rsidRPr="00F243DA" w:rsidRDefault="003D4D50" w:rsidP="003D4D50">
            <w:pPr>
              <w:pStyle w:val="naisc"/>
              <w:spacing w:before="0" w:after="0"/>
              <w:jc w:val="both"/>
            </w:pPr>
            <w:r w:rsidRPr="00F243DA">
              <w:t>Vēršam uzmanību, ka joprojām augsti korupcijas riski saglabājas publiskajos iepirkumos, kuros tiek piesaistīts apjomīgs finansējums, t.sk. Eiropas Savienības līdzfinansējums. Savukārt Biroja darbības stratēģijā 2020.-2022.gadam kā viena no izvirzītajām prioritātēm ir noteikta prettiesiskas rīcības un koruptīvu noziedzīgu nodarījumu identificēšana un izskaušana publiskajos iepirkumos.</w:t>
            </w:r>
          </w:p>
          <w:p w14:paraId="0D86840B" w14:textId="679C8C21" w:rsidR="003D4D50" w:rsidRDefault="003D4D50" w:rsidP="003D4D50">
            <w:pPr>
              <w:pStyle w:val="naisc"/>
              <w:spacing w:before="0" w:after="0"/>
              <w:jc w:val="both"/>
              <w:rPr>
                <w:b/>
              </w:rPr>
            </w:pPr>
            <w:r w:rsidRPr="00F243DA">
              <w:t>Balstoties uz iepriekš minēto, lūdzam par plāna projekta 3.1.5.mērķa īstenošanu kā iesaistīto pusi noteikt arī Biroju. Vienlaikus aicinām visā plāna projektā, tai skaitā tā pielikumā, veikt nepieciešamos precizējumus.</w:t>
            </w:r>
          </w:p>
        </w:tc>
        <w:tc>
          <w:tcPr>
            <w:tcW w:w="3427" w:type="dxa"/>
            <w:gridSpan w:val="2"/>
            <w:tcBorders>
              <w:left w:val="single" w:sz="6" w:space="0" w:color="000000" w:themeColor="text1"/>
              <w:bottom w:val="single" w:sz="4" w:space="0" w:color="auto"/>
              <w:right w:val="single" w:sz="6" w:space="0" w:color="000000" w:themeColor="text1"/>
            </w:tcBorders>
          </w:tcPr>
          <w:p w14:paraId="7C844C92" w14:textId="69023CDA" w:rsidR="003D4D50" w:rsidRPr="00A87949" w:rsidRDefault="003D4D50" w:rsidP="003D4D50">
            <w:pPr>
              <w:pStyle w:val="naisc"/>
              <w:spacing w:before="0" w:after="0"/>
              <w:jc w:val="both"/>
              <w:rPr>
                <w:b/>
                <w:bCs/>
              </w:rPr>
            </w:pPr>
            <w:r w:rsidRPr="00A87949">
              <w:rPr>
                <w:b/>
                <w:bCs/>
              </w:rPr>
              <w:t>Ņemts vērā</w:t>
            </w:r>
          </w:p>
        </w:tc>
        <w:tc>
          <w:tcPr>
            <w:tcW w:w="1934" w:type="dxa"/>
            <w:tcBorders>
              <w:top w:val="single" w:sz="4" w:space="0" w:color="auto"/>
              <w:left w:val="single" w:sz="4" w:space="0" w:color="auto"/>
              <w:bottom w:val="single" w:sz="4" w:space="0" w:color="auto"/>
            </w:tcBorders>
          </w:tcPr>
          <w:p w14:paraId="7A7A6E2D" w14:textId="5CE48FC5" w:rsidR="003D4D50" w:rsidRPr="00712B66" w:rsidRDefault="003D4D50" w:rsidP="003D4D50">
            <w:pPr>
              <w:jc w:val="both"/>
            </w:pPr>
            <w:r>
              <w:t>Skat. Plāna projekta 3.1. sadaļu.</w:t>
            </w:r>
          </w:p>
        </w:tc>
      </w:tr>
      <w:tr w:rsidR="003D4D50" w:rsidRPr="00712B66" w14:paraId="3D0DA310" w14:textId="77777777" w:rsidTr="7E8539FD">
        <w:tc>
          <w:tcPr>
            <w:tcW w:w="673" w:type="dxa"/>
            <w:tcBorders>
              <w:left w:val="single" w:sz="6" w:space="0" w:color="000000" w:themeColor="text1"/>
              <w:bottom w:val="single" w:sz="4" w:space="0" w:color="auto"/>
              <w:right w:val="single" w:sz="6" w:space="0" w:color="000000" w:themeColor="text1"/>
            </w:tcBorders>
          </w:tcPr>
          <w:p w14:paraId="76F8DC6F" w14:textId="77F99F6A" w:rsidR="003D4D50" w:rsidRDefault="00F76D07" w:rsidP="003D4D50">
            <w:pPr>
              <w:pStyle w:val="naisc"/>
              <w:spacing w:before="0" w:after="0"/>
            </w:pPr>
            <w:r>
              <w:t>62</w:t>
            </w:r>
            <w:r w:rsidR="003D4D50">
              <w:t>.</w:t>
            </w:r>
          </w:p>
        </w:tc>
        <w:tc>
          <w:tcPr>
            <w:tcW w:w="1835" w:type="dxa"/>
            <w:tcBorders>
              <w:left w:val="single" w:sz="6" w:space="0" w:color="000000" w:themeColor="text1"/>
              <w:bottom w:val="single" w:sz="4" w:space="0" w:color="auto"/>
              <w:right w:val="single" w:sz="6" w:space="0" w:color="000000" w:themeColor="text1"/>
            </w:tcBorders>
          </w:tcPr>
          <w:p w14:paraId="442D7414" w14:textId="421D115F" w:rsidR="003D4D50" w:rsidRDefault="003D4D50" w:rsidP="003D4D50">
            <w:pPr>
              <w:pStyle w:val="naisc"/>
              <w:spacing w:before="0" w:after="0"/>
              <w:jc w:val="both"/>
            </w:pPr>
            <w:r>
              <w:t>Skat. Plāna projekta 3. sadaļu.</w:t>
            </w:r>
          </w:p>
        </w:tc>
        <w:tc>
          <w:tcPr>
            <w:tcW w:w="7123" w:type="dxa"/>
            <w:gridSpan w:val="2"/>
            <w:tcBorders>
              <w:left w:val="single" w:sz="6" w:space="0" w:color="000000" w:themeColor="text1"/>
              <w:bottom w:val="single" w:sz="4" w:space="0" w:color="auto"/>
              <w:right w:val="single" w:sz="6" w:space="0" w:color="000000" w:themeColor="text1"/>
            </w:tcBorders>
          </w:tcPr>
          <w:p w14:paraId="21275C07" w14:textId="77777777" w:rsidR="003D4D50" w:rsidRDefault="003D4D50" w:rsidP="003D4D50">
            <w:pPr>
              <w:pStyle w:val="naisc"/>
              <w:spacing w:before="0" w:after="0"/>
              <w:rPr>
                <w:b/>
              </w:rPr>
            </w:pPr>
            <w:r>
              <w:rPr>
                <w:b/>
              </w:rPr>
              <w:t>Korupcijas novēršanas un apkarošanas birojs</w:t>
            </w:r>
          </w:p>
          <w:p w14:paraId="72AC13D2" w14:textId="77777777" w:rsidR="003D4D50" w:rsidRDefault="003D4D50" w:rsidP="003D4D50">
            <w:pPr>
              <w:pStyle w:val="naisc"/>
              <w:spacing w:before="0" w:after="0"/>
            </w:pPr>
            <w:r>
              <w:t>(14.01.2021. iebildums)</w:t>
            </w:r>
          </w:p>
          <w:p w14:paraId="4E81456A" w14:textId="77777777" w:rsidR="003D4D50" w:rsidRDefault="003D4D50" w:rsidP="003D4D50">
            <w:pPr>
              <w:pStyle w:val="naisc"/>
              <w:spacing w:before="0" w:after="0"/>
            </w:pPr>
          </w:p>
          <w:p w14:paraId="21B3630D" w14:textId="21006A48" w:rsidR="003D4D50" w:rsidRDefault="003D4D50" w:rsidP="003D4D50">
            <w:pPr>
              <w:pStyle w:val="naisc"/>
              <w:spacing w:before="0" w:after="0"/>
              <w:jc w:val="both"/>
            </w:pPr>
            <w:r>
              <w:t>Plāna projekta 1. stratēģiskās prioritātes “Godprātīgs darbs publiskajā pārvaldē” 3.1.7. mērķa īstenošanā, kā iesaistītās institūcijas ir norādīts Birojs, Tieslietu ministrija un Iekšlietu ministrija. Kā darbības rezultāts ir norādīts, ka tiks izstrādātas rokasgrāmatas un vadlīnijas horizontālās prakses iedibināšanai kopējo jautājumu risināšanai, kā arī nodrošinātas pieredzes apmaiņas vizītes, iepazīstot citu dalībvalstu praksi, veicinot vienotu tiesību izpratnes veidošanos, tiesību instrumentu apgūšanu. Savukārt rezultatīvais rādītājs šī mērķa izpildē ir dalībnieku skaits kompetencēs balstītu mācību moduļos.</w:t>
            </w:r>
          </w:p>
          <w:p w14:paraId="79EBB6AC" w14:textId="40FB4544" w:rsidR="003D4D50" w:rsidRDefault="003D4D50" w:rsidP="003D4D50">
            <w:pPr>
              <w:pStyle w:val="naisc"/>
              <w:spacing w:before="0" w:after="0"/>
              <w:jc w:val="both"/>
            </w:pPr>
            <w:r>
              <w:t xml:space="preserve">Pamatojoties uz to, ka Birojs ir norādīts, kā iesaistītā institūcija minētā mērķa īstenošanā, lūdzam skaidrot, vai minētās rokasgrāmatas un vadlīnijas ir jāizstrādā katrai iesaistītajai iestādei vai rīkojuma projektā </w:t>
            </w:r>
            <w:r>
              <w:lastRenderedPageBreak/>
              <w:t>norādītās atbildīgās institūcijas organizēs minētā darbības rezultāta izpildi. Kā arī nav saprotams, kāpēc minētās rokasgrāmatas un vadlīnijas nav norādītas kā mērķa izpildes rezultatīvais rādītājs.</w:t>
            </w:r>
          </w:p>
          <w:p w14:paraId="62CBD33A" w14:textId="0EA44F29" w:rsidR="003D4D50" w:rsidRDefault="003D4D50" w:rsidP="003D4D50">
            <w:pPr>
              <w:pStyle w:val="naisc"/>
              <w:spacing w:before="0" w:after="0"/>
              <w:jc w:val="both"/>
            </w:pPr>
            <w:r>
              <w:t>Atbilstoši minētajam, aicinām ar skaidrojumu papildināt plāna projektu.</w:t>
            </w:r>
          </w:p>
          <w:p w14:paraId="1ECAF085" w14:textId="0AE2E0E9" w:rsidR="003D4D50" w:rsidRPr="00F243DA" w:rsidRDefault="003D4D50" w:rsidP="003D4D50">
            <w:pPr>
              <w:pStyle w:val="naisc"/>
              <w:spacing w:before="0" w:after="0"/>
              <w:jc w:val="both"/>
            </w:pPr>
            <w:r>
              <w:t>Vienlaikus vēršam uzmanību, ka gan rokasgrāmata, gan vadlīnijas ietver metodisko materiālu un labās prakses piemērus. Līdz ar to lūdzam precizēt plāna projekta 3.1.7.mērķa darbības rezultātus, paredzot, ka ir jāizstrādā rokasgrāmata vai vadlīnijas horizontālās prakses iedibināšanai kopējo jautājumu risināšanai.</w:t>
            </w:r>
          </w:p>
        </w:tc>
        <w:tc>
          <w:tcPr>
            <w:tcW w:w="3427" w:type="dxa"/>
            <w:gridSpan w:val="2"/>
            <w:tcBorders>
              <w:left w:val="single" w:sz="6" w:space="0" w:color="000000" w:themeColor="text1"/>
              <w:bottom w:val="single" w:sz="4" w:space="0" w:color="auto"/>
              <w:right w:val="single" w:sz="6" w:space="0" w:color="000000" w:themeColor="text1"/>
            </w:tcBorders>
          </w:tcPr>
          <w:p w14:paraId="36253D02" w14:textId="557FE172" w:rsidR="003D4D50" w:rsidRDefault="003D4D50" w:rsidP="003D4D50">
            <w:pPr>
              <w:pStyle w:val="naisc"/>
              <w:spacing w:before="0" w:after="0"/>
              <w:jc w:val="both"/>
              <w:rPr>
                <w:b/>
                <w:bCs/>
              </w:rPr>
            </w:pPr>
            <w:r w:rsidRPr="007723AC">
              <w:rPr>
                <w:b/>
                <w:bCs/>
              </w:rPr>
              <w:lastRenderedPageBreak/>
              <w:t>Ņemts vērā</w:t>
            </w:r>
          </w:p>
          <w:p w14:paraId="06999990" w14:textId="77777777" w:rsidR="003D4D50" w:rsidRPr="007723AC" w:rsidRDefault="003D4D50" w:rsidP="003D4D50">
            <w:pPr>
              <w:pStyle w:val="naisc"/>
              <w:spacing w:before="0" w:after="0"/>
              <w:jc w:val="both"/>
              <w:rPr>
                <w:b/>
                <w:bCs/>
              </w:rPr>
            </w:pPr>
          </w:p>
          <w:p w14:paraId="6A79DC34" w14:textId="283B3A2C" w:rsidR="003D4D50" w:rsidRPr="00712B66" w:rsidRDefault="003D4D50" w:rsidP="003D4D50">
            <w:pPr>
              <w:pStyle w:val="naisc"/>
              <w:spacing w:before="0" w:after="0"/>
              <w:jc w:val="both"/>
            </w:pPr>
            <w:r>
              <w:t>Attiecībā uz rokasgrāmatu un vadlīniju izstrādi ir paredzēts, ka tās tiek izstrādātas kā kopīgu metožu pieeju darbināšanai un ir izmantojams gan iekšējo treneru  un mentoru apmācībai, gan ikdienas lietošanai. Rokasgrāmatas un vadlīnijas tiek izstrādātas atbilstoši specifiskajai jomai.</w:t>
            </w:r>
          </w:p>
        </w:tc>
        <w:tc>
          <w:tcPr>
            <w:tcW w:w="1934" w:type="dxa"/>
            <w:tcBorders>
              <w:top w:val="single" w:sz="4" w:space="0" w:color="auto"/>
              <w:left w:val="single" w:sz="4" w:space="0" w:color="auto"/>
              <w:bottom w:val="single" w:sz="4" w:space="0" w:color="auto"/>
            </w:tcBorders>
          </w:tcPr>
          <w:p w14:paraId="6001B871" w14:textId="4C20891B" w:rsidR="003D4D50" w:rsidRPr="00712B66" w:rsidRDefault="003D4D50" w:rsidP="003D4D50">
            <w:pPr>
              <w:jc w:val="both"/>
            </w:pPr>
            <w:r>
              <w:t>Skat. Plāna projekta 3.1. sadaļu.</w:t>
            </w:r>
          </w:p>
        </w:tc>
      </w:tr>
      <w:tr w:rsidR="00F76D07" w:rsidRPr="00712B66" w14:paraId="018F2FE0" w14:textId="77777777" w:rsidTr="7E8539FD">
        <w:tc>
          <w:tcPr>
            <w:tcW w:w="673" w:type="dxa"/>
            <w:tcBorders>
              <w:left w:val="single" w:sz="6" w:space="0" w:color="000000" w:themeColor="text1"/>
              <w:bottom w:val="single" w:sz="4" w:space="0" w:color="auto"/>
              <w:right w:val="single" w:sz="6" w:space="0" w:color="000000" w:themeColor="text1"/>
            </w:tcBorders>
          </w:tcPr>
          <w:p w14:paraId="65F28EE7" w14:textId="3E659646" w:rsidR="00F76D07" w:rsidRDefault="00F76D07" w:rsidP="00F76D07">
            <w:pPr>
              <w:pStyle w:val="naisc"/>
              <w:spacing w:before="0" w:after="0"/>
            </w:pPr>
            <w:r>
              <w:t>63.</w:t>
            </w:r>
          </w:p>
        </w:tc>
        <w:tc>
          <w:tcPr>
            <w:tcW w:w="1835" w:type="dxa"/>
            <w:tcBorders>
              <w:left w:val="single" w:sz="6" w:space="0" w:color="000000" w:themeColor="text1"/>
              <w:bottom w:val="single" w:sz="4" w:space="0" w:color="auto"/>
              <w:right w:val="single" w:sz="6" w:space="0" w:color="000000" w:themeColor="text1"/>
            </w:tcBorders>
          </w:tcPr>
          <w:p w14:paraId="25612955" w14:textId="7A1B4867" w:rsidR="00F76D07" w:rsidRDefault="00F76D07" w:rsidP="00F76D07">
            <w:pPr>
              <w:pStyle w:val="naisc"/>
              <w:spacing w:before="0" w:after="0"/>
              <w:jc w:val="both"/>
            </w:pPr>
            <w:r>
              <w:t>Skat. Plāna projekta 3. sadaļu.</w:t>
            </w:r>
          </w:p>
        </w:tc>
        <w:tc>
          <w:tcPr>
            <w:tcW w:w="7123" w:type="dxa"/>
            <w:gridSpan w:val="2"/>
            <w:tcBorders>
              <w:left w:val="single" w:sz="6" w:space="0" w:color="000000" w:themeColor="text1"/>
              <w:bottom w:val="single" w:sz="4" w:space="0" w:color="auto"/>
              <w:right w:val="single" w:sz="6" w:space="0" w:color="000000" w:themeColor="text1"/>
            </w:tcBorders>
          </w:tcPr>
          <w:p w14:paraId="03B5971A" w14:textId="77777777" w:rsidR="00F76D07" w:rsidRDefault="00F76D07" w:rsidP="00F76D07">
            <w:pPr>
              <w:pStyle w:val="naisc"/>
              <w:spacing w:before="0" w:after="0"/>
              <w:rPr>
                <w:b/>
              </w:rPr>
            </w:pPr>
            <w:r>
              <w:rPr>
                <w:b/>
              </w:rPr>
              <w:t>Korupcijas novēršanas un apkarošanas birojs</w:t>
            </w:r>
          </w:p>
          <w:p w14:paraId="68726156" w14:textId="77777777" w:rsidR="00F76D07" w:rsidRDefault="00F76D07" w:rsidP="00F76D07">
            <w:pPr>
              <w:pStyle w:val="naisc"/>
              <w:spacing w:before="0" w:after="0"/>
            </w:pPr>
            <w:r>
              <w:t>(14.01.2021. iebildums)</w:t>
            </w:r>
          </w:p>
          <w:p w14:paraId="070D167C" w14:textId="77777777" w:rsidR="00F76D07" w:rsidRDefault="00F76D07" w:rsidP="00F76D07">
            <w:pPr>
              <w:pStyle w:val="naisc"/>
              <w:spacing w:before="0" w:after="0"/>
            </w:pPr>
          </w:p>
          <w:p w14:paraId="1C24384A" w14:textId="77777777" w:rsidR="00F76D07" w:rsidRDefault="00F76D07" w:rsidP="00F76D07">
            <w:pPr>
              <w:pStyle w:val="naisc"/>
              <w:spacing w:before="0" w:after="0"/>
              <w:jc w:val="both"/>
            </w:pPr>
            <w:r>
              <w:t>Plāna projekta III daļā minētais 1.stratēģiskās prioritātes “Godprātīgs darbs publiskajā pārvaldē” 3.1.1.mērķis paredz iedzīvināt valsts pārvaldes vērtības un ētikas pamatprincipus, veidojot kopīgu un vienotu izpratni integritātes jautājumos un vērtībās balstītu kultūru. Minētais mērķis paredz izveidot un uzturēt publiskās pārvaldes uzticības personu ētikas jautājumos tīklu, nodrošinot uzticības personu mācības. Savukārt kā viens no rezultatīvajiem rādītājiem ir noteikts, ka uzticības personu tīklā ir deleģēts vismaz viens nodarbinātais no katras iestādes un kopā apmācīti vismaz 200 nodarbināto.</w:t>
            </w:r>
          </w:p>
          <w:p w14:paraId="34902CED" w14:textId="77777777" w:rsidR="00F76D07" w:rsidRDefault="00F76D07" w:rsidP="00F76D07">
            <w:pPr>
              <w:pStyle w:val="naisc"/>
              <w:spacing w:before="0" w:after="0"/>
              <w:jc w:val="both"/>
            </w:pPr>
            <w:r>
              <w:t>Birojs norāda, ka plāna projekta 1.stratēģiskās prioritātes aprakstošajā daļā nav noteikts, kā un pēc kādiem kritērijiem tiks veidots uzticības personu tīkls. Vienlaikus vēršam uzmanību, ka nav skaidri saprotams, vai visām iestādēm ir jādeleģē uzticības persona un kāpēc, kā rezultatīvais rādītājs ir norādīts vismaz 200 apmācīto nodarbināto.</w:t>
            </w:r>
          </w:p>
          <w:p w14:paraId="1B7B6D8F" w14:textId="1A1842DD" w:rsidR="00F76D07" w:rsidRDefault="00F76D07" w:rsidP="00F76D07">
            <w:pPr>
              <w:pStyle w:val="naisc"/>
              <w:spacing w:before="0" w:after="0"/>
              <w:rPr>
                <w:b/>
              </w:rPr>
            </w:pPr>
            <w:r>
              <w:t>Pamatojoties uz iepriekš minēto, lūdzam papildināt plāna projekta aprakstošo daļu ar nepieciešamo skaidrojumu.</w:t>
            </w:r>
          </w:p>
        </w:tc>
        <w:tc>
          <w:tcPr>
            <w:tcW w:w="3427" w:type="dxa"/>
            <w:gridSpan w:val="2"/>
            <w:tcBorders>
              <w:left w:val="single" w:sz="6" w:space="0" w:color="000000" w:themeColor="text1"/>
              <w:bottom w:val="single" w:sz="4" w:space="0" w:color="auto"/>
              <w:right w:val="single" w:sz="6" w:space="0" w:color="000000" w:themeColor="text1"/>
            </w:tcBorders>
          </w:tcPr>
          <w:p w14:paraId="5E0AF902" w14:textId="427CBBB5" w:rsidR="00F76D07" w:rsidRPr="003A00FA" w:rsidRDefault="00F76D07" w:rsidP="00F76D07">
            <w:pPr>
              <w:jc w:val="both"/>
              <w:rPr>
                <w:b/>
              </w:rPr>
            </w:pPr>
            <w:r w:rsidRPr="003A00FA">
              <w:rPr>
                <w:b/>
              </w:rPr>
              <w:t>Uzskatāms par saskaņotu elektroniskās saskaņo</w:t>
            </w:r>
            <w:r w:rsidR="003A00FA">
              <w:rPr>
                <w:b/>
              </w:rPr>
              <w:t>šanas laikā</w:t>
            </w:r>
          </w:p>
          <w:p w14:paraId="47E9FED6" w14:textId="77777777" w:rsidR="00F76D07" w:rsidRDefault="00F76D07" w:rsidP="00F76D07">
            <w:pPr>
              <w:pStyle w:val="naisc"/>
              <w:spacing w:before="0" w:after="0"/>
              <w:jc w:val="both"/>
              <w:rPr>
                <w:b/>
                <w:bCs/>
              </w:rPr>
            </w:pPr>
          </w:p>
          <w:p w14:paraId="6926CBF5" w14:textId="539B6428" w:rsidR="00F76D07" w:rsidRPr="007723AC" w:rsidRDefault="00F76D07" w:rsidP="00F76D07">
            <w:pPr>
              <w:pStyle w:val="naisc"/>
              <w:spacing w:before="0" w:after="0"/>
              <w:jc w:val="both"/>
              <w:rPr>
                <w:b/>
                <w:bCs/>
              </w:rPr>
            </w:pPr>
          </w:p>
        </w:tc>
        <w:tc>
          <w:tcPr>
            <w:tcW w:w="1934" w:type="dxa"/>
            <w:tcBorders>
              <w:top w:val="single" w:sz="4" w:space="0" w:color="auto"/>
              <w:left w:val="single" w:sz="4" w:space="0" w:color="auto"/>
              <w:bottom w:val="single" w:sz="4" w:space="0" w:color="auto"/>
            </w:tcBorders>
          </w:tcPr>
          <w:p w14:paraId="106B5B03" w14:textId="1F0B2B41" w:rsidR="00F76D07" w:rsidRDefault="00F76D07" w:rsidP="00F76D07">
            <w:pPr>
              <w:jc w:val="both"/>
            </w:pPr>
            <w:r>
              <w:t>Skat. Plāna projekta 3.1. sadaļu.</w:t>
            </w:r>
          </w:p>
        </w:tc>
      </w:tr>
      <w:tr w:rsidR="00F76D07" w:rsidRPr="00712B66" w14:paraId="004A5E76" w14:textId="77777777" w:rsidTr="7E8539FD">
        <w:tc>
          <w:tcPr>
            <w:tcW w:w="673" w:type="dxa"/>
            <w:tcBorders>
              <w:left w:val="single" w:sz="6" w:space="0" w:color="000000" w:themeColor="text1"/>
              <w:bottom w:val="single" w:sz="4" w:space="0" w:color="auto"/>
              <w:right w:val="single" w:sz="6" w:space="0" w:color="000000" w:themeColor="text1"/>
            </w:tcBorders>
          </w:tcPr>
          <w:p w14:paraId="71146753" w14:textId="531EB12A" w:rsidR="00F76D07" w:rsidRDefault="00F76D07" w:rsidP="00F76D07">
            <w:pPr>
              <w:pStyle w:val="naisc"/>
              <w:spacing w:before="0" w:after="0"/>
            </w:pPr>
            <w:r>
              <w:t>64.</w:t>
            </w:r>
          </w:p>
        </w:tc>
        <w:tc>
          <w:tcPr>
            <w:tcW w:w="1835" w:type="dxa"/>
            <w:tcBorders>
              <w:left w:val="single" w:sz="6" w:space="0" w:color="000000" w:themeColor="text1"/>
              <w:bottom w:val="single" w:sz="4" w:space="0" w:color="auto"/>
              <w:right w:val="single" w:sz="6" w:space="0" w:color="000000" w:themeColor="text1"/>
            </w:tcBorders>
          </w:tcPr>
          <w:p w14:paraId="36CCE15A" w14:textId="00D652BE" w:rsidR="00F76D07" w:rsidRDefault="00F76D07" w:rsidP="00F76D07">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393105DC" w14:textId="77777777" w:rsidR="00F76D07" w:rsidRDefault="00F76D07" w:rsidP="00F76D07">
            <w:pPr>
              <w:pStyle w:val="naisc"/>
              <w:spacing w:before="0" w:after="0"/>
              <w:rPr>
                <w:b/>
              </w:rPr>
            </w:pPr>
            <w:r>
              <w:rPr>
                <w:b/>
              </w:rPr>
              <w:t>Vides aizsardzības un reģionālās attīstības ministrija</w:t>
            </w:r>
          </w:p>
          <w:p w14:paraId="28BAA3AA" w14:textId="77777777" w:rsidR="00F76D07" w:rsidRDefault="00F76D07" w:rsidP="00F76D07">
            <w:pPr>
              <w:pStyle w:val="naisc"/>
              <w:spacing w:before="0" w:after="0"/>
            </w:pPr>
            <w:r>
              <w:t>(11.01.2021. iebildums)</w:t>
            </w:r>
          </w:p>
          <w:p w14:paraId="1B256E6D" w14:textId="77777777" w:rsidR="00F76D07" w:rsidRDefault="00F76D07" w:rsidP="00F76D07">
            <w:pPr>
              <w:pStyle w:val="naisc"/>
              <w:spacing w:before="0" w:after="0"/>
              <w:rPr>
                <w:b/>
              </w:rPr>
            </w:pPr>
          </w:p>
          <w:p w14:paraId="6CEDF975" w14:textId="060A11E2" w:rsidR="00F76D07" w:rsidRDefault="00F76D07" w:rsidP="00F76D07">
            <w:pPr>
              <w:pStyle w:val="naisc"/>
              <w:spacing w:before="0" w:after="0"/>
              <w:jc w:val="both"/>
              <w:rPr>
                <w:b/>
              </w:rPr>
            </w:pPr>
            <w:r w:rsidRPr="00534060">
              <w:t>Lūdzam visa Plāna projekta tekstā aizstāt terminu “Digitalizācija” ar terminu “Digitālā transformācija”.</w:t>
            </w:r>
          </w:p>
        </w:tc>
        <w:tc>
          <w:tcPr>
            <w:tcW w:w="3427" w:type="dxa"/>
            <w:gridSpan w:val="2"/>
            <w:tcBorders>
              <w:left w:val="single" w:sz="6" w:space="0" w:color="000000" w:themeColor="text1"/>
              <w:bottom w:val="single" w:sz="4" w:space="0" w:color="auto"/>
              <w:right w:val="single" w:sz="6" w:space="0" w:color="000000" w:themeColor="text1"/>
            </w:tcBorders>
          </w:tcPr>
          <w:p w14:paraId="4B5CCD1D" w14:textId="0DE7870F" w:rsidR="00F76D07" w:rsidRPr="009D4684" w:rsidRDefault="00F76D07" w:rsidP="00F76D07">
            <w:pPr>
              <w:pStyle w:val="naisc"/>
              <w:spacing w:before="0" w:after="0"/>
              <w:jc w:val="both"/>
              <w:rPr>
                <w:b/>
                <w:bCs/>
              </w:rPr>
            </w:pPr>
            <w:r>
              <w:rPr>
                <w:b/>
                <w:bCs/>
              </w:rPr>
              <w:t>Ņ</w:t>
            </w:r>
            <w:r w:rsidRPr="009D4684">
              <w:rPr>
                <w:b/>
                <w:bCs/>
              </w:rPr>
              <w:t>emts vērā</w:t>
            </w:r>
          </w:p>
          <w:p w14:paraId="4235AC59" w14:textId="77777777" w:rsidR="00F76D07" w:rsidRDefault="00F76D07" w:rsidP="00F76D07">
            <w:pPr>
              <w:pStyle w:val="naisc"/>
              <w:spacing w:before="0" w:after="0"/>
              <w:jc w:val="both"/>
            </w:pPr>
          </w:p>
          <w:p w14:paraId="0087ED73" w14:textId="2021B1DE" w:rsidR="00F76D07" w:rsidRPr="007723AC" w:rsidRDefault="00F76D07" w:rsidP="00F76D07">
            <w:pPr>
              <w:pStyle w:val="naisc"/>
              <w:spacing w:before="0" w:after="0"/>
              <w:jc w:val="both"/>
              <w:rPr>
                <w:b/>
                <w:bCs/>
              </w:rPr>
            </w:pPr>
            <w:r>
              <w:t xml:space="preserve">Saturiski, kur bija iespēja aizstāt terminu “Digitalizācija” ar </w:t>
            </w:r>
            <w:r>
              <w:lastRenderedPageBreak/>
              <w:t xml:space="preserve">terminu “Digitālā transformācija”, ir aizstāts. </w:t>
            </w:r>
          </w:p>
        </w:tc>
        <w:tc>
          <w:tcPr>
            <w:tcW w:w="1934" w:type="dxa"/>
            <w:tcBorders>
              <w:top w:val="single" w:sz="4" w:space="0" w:color="auto"/>
              <w:left w:val="single" w:sz="4" w:space="0" w:color="auto"/>
              <w:bottom w:val="single" w:sz="4" w:space="0" w:color="auto"/>
            </w:tcBorders>
          </w:tcPr>
          <w:p w14:paraId="79AD16A3" w14:textId="2907E994" w:rsidR="00F76D07" w:rsidRDefault="00F76D07" w:rsidP="00F76D07">
            <w:pPr>
              <w:jc w:val="both"/>
            </w:pPr>
            <w:r>
              <w:lastRenderedPageBreak/>
              <w:t xml:space="preserve">Skat. Plāna projekta 1.2. un 3.3. sadaļas.  </w:t>
            </w:r>
          </w:p>
        </w:tc>
      </w:tr>
      <w:tr w:rsidR="00F76D07" w:rsidRPr="00712B66" w14:paraId="43825F9E" w14:textId="77777777" w:rsidTr="7E8539FD">
        <w:tc>
          <w:tcPr>
            <w:tcW w:w="673" w:type="dxa"/>
            <w:tcBorders>
              <w:left w:val="single" w:sz="6" w:space="0" w:color="000000" w:themeColor="text1"/>
              <w:bottom w:val="single" w:sz="4" w:space="0" w:color="auto"/>
              <w:right w:val="single" w:sz="6" w:space="0" w:color="000000" w:themeColor="text1"/>
            </w:tcBorders>
          </w:tcPr>
          <w:p w14:paraId="204CEDC8" w14:textId="469BD479" w:rsidR="00F76D07" w:rsidRDefault="00F76D07" w:rsidP="00F76D07">
            <w:pPr>
              <w:pStyle w:val="naisc"/>
              <w:spacing w:before="0" w:after="0"/>
            </w:pPr>
            <w:r>
              <w:t>65.</w:t>
            </w:r>
          </w:p>
        </w:tc>
        <w:tc>
          <w:tcPr>
            <w:tcW w:w="1835" w:type="dxa"/>
            <w:tcBorders>
              <w:left w:val="single" w:sz="6" w:space="0" w:color="000000" w:themeColor="text1"/>
              <w:bottom w:val="single" w:sz="4" w:space="0" w:color="auto"/>
              <w:right w:val="single" w:sz="6" w:space="0" w:color="000000" w:themeColor="text1"/>
            </w:tcBorders>
          </w:tcPr>
          <w:p w14:paraId="424ACC7A" w14:textId="3843C7DF" w:rsidR="00F76D07" w:rsidRDefault="00F76D07" w:rsidP="00F76D07">
            <w:pPr>
              <w:pStyle w:val="naisc"/>
              <w:spacing w:before="0" w:after="0"/>
              <w:jc w:val="both"/>
            </w:pPr>
            <w:r>
              <w:t>Skat. Plāna projekta 3.4. sadaļu.</w:t>
            </w:r>
          </w:p>
        </w:tc>
        <w:tc>
          <w:tcPr>
            <w:tcW w:w="7123" w:type="dxa"/>
            <w:gridSpan w:val="2"/>
            <w:tcBorders>
              <w:left w:val="single" w:sz="6" w:space="0" w:color="000000" w:themeColor="text1"/>
              <w:bottom w:val="single" w:sz="4" w:space="0" w:color="auto"/>
              <w:right w:val="single" w:sz="6" w:space="0" w:color="000000" w:themeColor="text1"/>
            </w:tcBorders>
          </w:tcPr>
          <w:p w14:paraId="1B5782AA" w14:textId="77777777" w:rsidR="00F76D07" w:rsidRDefault="00F76D07" w:rsidP="00F76D07">
            <w:pPr>
              <w:pStyle w:val="naisc"/>
              <w:spacing w:before="0" w:after="0"/>
              <w:rPr>
                <w:b/>
              </w:rPr>
            </w:pPr>
            <w:r>
              <w:rPr>
                <w:b/>
              </w:rPr>
              <w:t>Vides aizsardzības un reģionālās attīstības ministrija</w:t>
            </w:r>
          </w:p>
          <w:p w14:paraId="073C86A2" w14:textId="77777777" w:rsidR="00F76D07" w:rsidRDefault="00F76D07" w:rsidP="00F76D07">
            <w:pPr>
              <w:pStyle w:val="naisc"/>
              <w:spacing w:before="0" w:after="0"/>
            </w:pPr>
            <w:r>
              <w:t>(11.01.2021. iebildums)</w:t>
            </w:r>
          </w:p>
          <w:p w14:paraId="3805A448" w14:textId="77777777" w:rsidR="00F76D07" w:rsidRDefault="00F76D07" w:rsidP="00F76D07">
            <w:pPr>
              <w:pStyle w:val="naisc"/>
              <w:spacing w:before="0" w:after="0"/>
              <w:rPr>
                <w:b/>
              </w:rPr>
            </w:pPr>
          </w:p>
          <w:p w14:paraId="4B7C372C" w14:textId="77777777" w:rsidR="00F76D07" w:rsidRPr="00534060" w:rsidRDefault="00F76D07" w:rsidP="00F76D07">
            <w:pPr>
              <w:pStyle w:val="naisc"/>
              <w:spacing w:before="0" w:after="0"/>
              <w:jc w:val="both"/>
            </w:pPr>
            <w:r w:rsidRPr="00534060">
              <w:t>Lūdzam Plāna projekta 3.4.sadaļas “Digitālā transformācija un datu pratība” 33. lpp.:</w:t>
            </w:r>
          </w:p>
          <w:p w14:paraId="775D64BA" w14:textId="77777777" w:rsidR="00F76D07" w:rsidRPr="00534060" w:rsidRDefault="00F76D07" w:rsidP="00F76D07">
            <w:pPr>
              <w:pStyle w:val="naisc"/>
              <w:spacing w:before="0" w:after="0"/>
              <w:jc w:val="both"/>
            </w:pPr>
            <w:r w:rsidRPr="00534060">
              <w:t>10.1.  pirmajā rindkopā aizstāt vārdu “blockchain” ar vārdiem “blokķēdes risinājumiem”;</w:t>
            </w:r>
          </w:p>
          <w:p w14:paraId="4A932E59" w14:textId="54EE3A4A" w:rsidR="00F76D07" w:rsidRDefault="00F76D07" w:rsidP="00F76D07">
            <w:pPr>
              <w:pStyle w:val="naisc"/>
              <w:spacing w:before="0" w:after="0"/>
              <w:jc w:val="both"/>
              <w:rPr>
                <w:b/>
              </w:rPr>
            </w:pPr>
            <w:r w:rsidRPr="00534060">
              <w:t xml:space="preserve">10.2. precizēt otrās rindkopas digitālās transformācijas mērķi. Saskaņā ar digitālās transformācijas pamatnostādnēs norādīto mērķi </w:t>
            </w:r>
            <w:r w:rsidRPr="00534060">
              <w:rPr>
                <w:i/>
              </w:rPr>
              <w:t>“Digitālās transformācijas pamatnostādņu mērķis ir izveidot tādu sabiedrību, tautsaimniecību un valsts pārvaldi, kas mērķtiecīgi izmanto esošās un veido jaunas digitālo tehnoloģiju iespējas, kā arī to radīto vidi, uzlabojot dzīves kvalitāti ikvienam indivīdam un sabiedrībai kopumā, ceļot valsts un tautsaimniecības konkurētspēju</w:t>
            </w:r>
            <w:r w:rsidRPr="00534060">
              <w:t>”.</w:t>
            </w:r>
          </w:p>
        </w:tc>
        <w:tc>
          <w:tcPr>
            <w:tcW w:w="3427" w:type="dxa"/>
            <w:gridSpan w:val="2"/>
            <w:tcBorders>
              <w:left w:val="single" w:sz="6" w:space="0" w:color="000000" w:themeColor="text1"/>
              <w:bottom w:val="single" w:sz="4" w:space="0" w:color="auto"/>
              <w:right w:val="single" w:sz="6" w:space="0" w:color="000000" w:themeColor="text1"/>
            </w:tcBorders>
          </w:tcPr>
          <w:p w14:paraId="523F1980" w14:textId="27AF5F4B" w:rsidR="00F76D07" w:rsidRPr="009D4684" w:rsidRDefault="00F76D07" w:rsidP="00F76D07">
            <w:pPr>
              <w:pStyle w:val="naisc"/>
              <w:spacing w:before="0" w:after="0"/>
              <w:jc w:val="both"/>
              <w:rPr>
                <w:b/>
                <w:bCs/>
              </w:rPr>
            </w:pPr>
            <w:r>
              <w:rPr>
                <w:b/>
                <w:bCs/>
              </w:rPr>
              <w:t>Ņ</w:t>
            </w:r>
            <w:r w:rsidRPr="009D4684">
              <w:rPr>
                <w:b/>
                <w:bCs/>
              </w:rPr>
              <w:t>emts vērā</w:t>
            </w:r>
          </w:p>
          <w:p w14:paraId="59C21D90" w14:textId="77777777" w:rsidR="00F76D07" w:rsidRDefault="00F76D07" w:rsidP="00F76D07">
            <w:pPr>
              <w:pStyle w:val="naisc"/>
              <w:spacing w:before="0" w:after="0"/>
              <w:jc w:val="both"/>
            </w:pPr>
          </w:p>
          <w:p w14:paraId="06F503E5" w14:textId="6B65E6B3" w:rsidR="00F76D07" w:rsidRDefault="00F76D07" w:rsidP="00F76D07">
            <w:pPr>
              <w:pStyle w:val="naisc"/>
              <w:spacing w:before="0" w:after="0"/>
              <w:jc w:val="both"/>
            </w:pPr>
            <w:r>
              <w:t>Plāna projekts ir saskaņots ar Digitālās transformācijas pamatnostādņu projektu.</w:t>
            </w:r>
          </w:p>
          <w:p w14:paraId="0B65F7DC" w14:textId="77777777" w:rsidR="00F76D07" w:rsidRPr="007723AC" w:rsidRDefault="00F76D07" w:rsidP="00F76D07">
            <w:pPr>
              <w:pStyle w:val="naisc"/>
              <w:spacing w:before="0" w:after="0"/>
              <w:jc w:val="both"/>
              <w:rPr>
                <w:b/>
                <w:bCs/>
              </w:rPr>
            </w:pPr>
          </w:p>
        </w:tc>
        <w:tc>
          <w:tcPr>
            <w:tcW w:w="1934" w:type="dxa"/>
            <w:tcBorders>
              <w:top w:val="single" w:sz="4" w:space="0" w:color="auto"/>
              <w:left w:val="single" w:sz="4" w:space="0" w:color="auto"/>
              <w:bottom w:val="single" w:sz="4" w:space="0" w:color="auto"/>
            </w:tcBorders>
          </w:tcPr>
          <w:p w14:paraId="61E25922" w14:textId="6976F8B8" w:rsidR="00F76D07" w:rsidRDefault="00F76D07" w:rsidP="00F76D07">
            <w:pPr>
              <w:jc w:val="both"/>
            </w:pPr>
            <w:r>
              <w:t>Skat. Plāna projekta 3.4. sadaļu.</w:t>
            </w:r>
          </w:p>
        </w:tc>
      </w:tr>
      <w:tr w:rsidR="00F76D07" w:rsidRPr="00712B66" w14:paraId="7C382C04" w14:textId="77777777" w:rsidTr="7E8539FD">
        <w:tc>
          <w:tcPr>
            <w:tcW w:w="673" w:type="dxa"/>
            <w:tcBorders>
              <w:left w:val="single" w:sz="6" w:space="0" w:color="000000" w:themeColor="text1"/>
              <w:bottom w:val="single" w:sz="4" w:space="0" w:color="auto"/>
              <w:right w:val="single" w:sz="6" w:space="0" w:color="000000" w:themeColor="text1"/>
            </w:tcBorders>
          </w:tcPr>
          <w:p w14:paraId="2B7A4D2A" w14:textId="37A5BA1C" w:rsidR="00F76D07" w:rsidRDefault="00F76D07" w:rsidP="00F76D07">
            <w:pPr>
              <w:pStyle w:val="naisc"/>
              <w:spacing w:before="0" w:after="0"/>
            </w:pPr>
            <w:r>
              <w:t>66.</w:t>
            </w:r>
          </w:p>
        </w:tc>
        <w:tc>
          <w:tcPr>
            <w:tcW w:w="1835" w:type="dxa"/>
            <w:tcBorders>
              <w:left w:val="single" w:sz="6" w:space="0" w:color="000000" w:themeColor="text1"/>
              <w:bottom w:val="single" w:sz="4" w:space="0" w:color="auto"/>
              <w:right w:val="single" w:sz="6" w:space="0" w:color="000000" w:themeColor="text1"/>
            </w:tcBorders>
          </w:tcPr>
          <w:p w14:paraId="0DEF08BF" w14:textId="3C667BFC" w:rsidR="00F76D07" w:rsidRDefault="00F76D07" w:rsidP="00F76D07">
            <w:pPr>
              <w:pStyle w:val="naisc"/>
              <w:spacing w:before="0" w:after="0"/>
              <w:jc w:val="both"/>
            </w:pPr>
            <w:r>
              <w:t xml:space="preserve">Skat. Plāna projektu. </w:t>
            </w:r>
          </w:p>
        </w:tc>
        <w:tc>
          <w:tcPr>
            <w:tcW w:w="7123" w:type="dxa"/>
            <w:gridSpan w:val="2"/>
            <w:tcBorders>
              <w:left w:val="single" w:sz="6" w:space="0" w:color="000000" w:themeColor="text1"/>
              <w:bottom w:val="single" w:sz="4" w:space="0" w:color="auto"/>
              <w:right w:val="single" w:sz="6" w:space="0" w:color="000000" w:themeColor="text1"/>
            </w:tcBorders>
          </w:tcPr>
          <w:p w14:paraId="42AF56E1" w14:textId="77777777" w:rsidR="00F76D07" w:rsidRDefault="00F76D07" w:rsidP="00F76D07">
            <w:pPr>
              <w:pStyle w:val="naisc"/>
              <w:spacing w:before="0" w:after="0"/>
              <w:rPr>
                <w:b/>
              </w:rPr>
            </w:pPr>
            <w:r>
              <w:rPr>
                <w:b/>
              </w:rPr>
              <w:t>Latvijas Pašvaldību savienība</w:t>
            </w:r>
          </w:p>
          <w:p w14:paraId="5BA4BCFE" w14:textId="77777777" w:rsidR="00F76D07" w:rsidRDefault="00F76D07" w:rsidP="00F76D07">
            <w:pPr>
              <w:pStyle w:val="naisc"/>
              <w:spacing w:before="0" w:after="0"/>
            </w:pPr>
            <w:r>
              <w:t>(12.01.2021. iebildums)</w:t>
            </w:r>
          </w:p>
          <w:p w14:paraId="59F35282" w14:textId="77777777" w:rsidR="00F76D07" w:rsidRDefault="00F76D07" w:rsidP="00F76D07">
            <w:pPr>
              <w:pStyle w:val="naisc"/>
              <w:spacing w:before="0" w:after="0"/>
            </w:pPr>
          </w:p>
          <w:p w14:paraId="262F3B9D" w14:textId="66B13731" w:rsidR="00F76D07" w:rsidRDefault="00F76D07" w:rsidP="00F76D07">
            <w:pPr>
              <w:pStyle w:val="naisc"/>
              <w:spacing w:before="0" w:after="0"/>
              <w:jc w:val="both"/>
              <w:rPr>
                <w:b/>
              </w:rPr>
            </w:pPr>
            <w:r w:rsidRPr="0057685D">
              <w:t xml:space="preserve">Plāna projektā vairākkārtēji ir norādes uz veiktajām amatpersonu un darbinieku aptaujām, kas veiktas valsts pārvaldē nodarbināto starpā. Secinājumi, kas ir veikti pēc minēto aptauju rezultātiem, ir attiecināti arī uz pašvaldību administrācijās un pašvaldību iestādēs nodarbinātajiem. Precīzāk, pašvaldībās nodarbināto vajadzībām pēc konkrētā veida apmācībām. Dokumentā nav izvērtēta pašvaldību situācija, līdz ar to piedāvātie risinājumi ir "skaistum lietas", bet ne pamatvajadzības. Izstrādājot projektu, būtu bijis nepieciešams iepazīties ar pašvaldību faktisko apmācību nepieciešamību un jau ieviesto praksi. </w:t>
            </w:r>
            <w:bookmarkStart w:id="3" w:name="_Hlk70546444"/>
            <w:r w:rsidRPr="0057685D">
              <w:t xml:space="preserve">Ņemot vērā minēto, lūdzam papildināt plāna izvērtējumu ar jau pieejamajām apmācību formām un resursiem. </w:t>
            </w:r>
            <w:bookmarkEnd w:id="3"/>
          </w:p>
        </w:tc>
        <w:tc>
          <w:tcPr>
            <w:tcW w:w="3427" w:type="dxa"/>
            <w:gridSpan w:val="2"/>
            <w:tcBorders>
              <w:left w:val="single" w:sz="6" w:space="0" w:color="000000" w:themeColor="text1"/>
              <w:bottom w:val="single" w:sz="4" w:space="0" w:color="auto"/>
              <w:right w:val="single" w:sz="6" w:space="0" w:color="000000" w:themeColor="text1"/>
            </w:tcBorders>
          </w:tcPr>
          <w:p w14:paraId="379F3735" w14:textId="50D89294" w:rsidR="00F76D07" w:rsidRDefault="00F76D07" w:rsidP="00F76D07">
            <w:pPr>
              <w:pStyle w:val="naisc"/>
              <w:spacing w:before="0" w:after="0"/>
              <w:jc w:val="both"/>
              <w:rPr>
                <w:b/>
                <w:bCs/>
              </w:rPr>
            </w:pPr>
            <w:r w:rsidRPr="004453BE">
              <w:rPr>
                <w:b/>
                <w:bCs/>
              </w:rPr>
              <w:t xml:space="preserve">Ņemts vērā </w:t>
            </w:r>
          </w:p>
          <w:p w14:paraId="7215AF03" w14:textId="77777777" w:rsidR="00F76D07" w:rsidRDefault="00F76D07" w:rsidP="00F76D07">
            <w:pPr>
              <w:pStyle w:val="naisc"/>
              <w:spacing w:before="0" w:after="0"/>
              <w:jc w:val="both"/>
              <w:rPr>
                <w:b/>
                <w:bCs/>
              </w:rPr>
            </w:pPr>
          </w:p>
          <w:p w14:paraId="44E80039" w14:textId="1D890C30" w:rsidR="00F76D07" w:rsidRDefault="00F76D07" w:rsidP="00F76D07">
            <w:pPr>
              <w:pStyle w:val="naisc"/>
              <w:spacing w:before="0" w:after="0"/>
              <w:jc w:val="both"/>
            </w:pPr>
            <w:r>
              <w:t>Iebildums ir pārrunāts ar Latvijas Pašvaldību savienību, ir panākta vienošanās, ka pašvaldību iestādes Plāna projekta kontekstā ir sadarbības iestādes, tādējādi saglabājot savu autonomiju.</w:t>
            </w:r>
          </w:p>
          <w:p w14:paraId="135D678C" w14:textId="77777777" w:rsidR="00F76D07" w:rsidRDefault="00F76D07" w:rsidP="00F76D07">
            <w:pPr>
              <w:pStyle w:val="naisc"/>
              <w:spacing w:before="0" w:after="0"/>
              <w:jc w:val="both"/>
            </w:pPr>
          </w:p>
          <w:p w14:paraId="7D0EC0A9" w14:textId="53691FCF" w:rsidR="00F76D07" w:rsidRDefault="00F76D07" w:rsidP="00F76D07">
            <w:pPr>
              <w:pStyle w:val="naisc"/>
              <w:spacing w:before="0" w:after="0"/>
              <w:jc w:val="both"/>
              <w:rPr>
                <w:b/>
                <w:bCs/>
              </w:rPr>
            </w:pPr>
            <w:r>
              <w:t xml:space="preserve">Plāna projektā pašvaldību iestādes tika iekļautas, lai turpmāk nodrošinātu vienotu visai publiskai pārvaldei svarīgu jautājumu attīstību valsts pārvaldes un pašvaldību iestādēs.  Pašvaldībām tiek saglabāta </w:t>
            </w:r>
            <w:r>
              <w:lastRenderedPageBreak/>
              <w:t>autonomija specifisko mācību attīstības pasākumu īstenošanā.</w:t>
            </w:r>
          </w:p>
        </w:tc>
        <w:tc>
          <w:tcPr>
            <w:tcW w:w="1934" w:type="dxa"/>
            <w:tcBorders>
              <w:top w:val="single" w:sz="4" w:space="0" w:color="auto"/>
              <w:left w:val="single" w:sz="4" w:space="0" w:color="auto"/>
              <w:bottom w:val="single" w:sz="4" w:space="0" w:color="auto"/>
            </w:tcBorders>
          </w:tcPr>
          <w:p w14:paraId="3A02104D" w14:textId="78D8666B" w:rsidR="00F76D07" w:rsidRDefault="00F76D07" w:rsidP="00F76D07">
            <w:pPr>
              <w:jc w:val="both"/>
            </w:pPr>
            <w:r>
              <w:lastRenderedPageBreak/>
              <w:t>Skat. Plāna projekta 1.3. sadaļu.</w:t>
            </w:r>
          </w:p>
        </w:tc>
      </w:tr>
      <w:tr w:rsidR="00BA4FD1" w:rsidRPr="00712B66" w14:paraId="7859BE1E" w14:textId="77777777" w:rsidTr="7E8539FD">
        <w:tc>
          <w:tcPr>
            <w:tcW w:w="673" w:type="dxa"/>
            <w:tcBorders>
              <w:left w:val="single" w:sz="6" w:space="0" w:color="000000" w:themeColor="text1"/>
              <w:bottom w:val="single" w:sz="4" w:space="0" w:color="auto"/>
              <w:right w:val="single" w:sz="6" w:space="0" w:color="000000" w:themeColor="text1"/>
            </w:tcBorders>
          </w:tcPr>
          <w:p w14:paraId="4C9D8FDD" w14:textId="188BE375" w:rsidR="00BA4FD1" w:rsidRDefault="00BA4FD1" w:rsidP="00F76D07">
            <w:pPr>
              <w:pStyle w:val="naisc"/>
              <w:spacing w:before="0" w:after="0"/>
            </w:pPr>
            <w:r>
              <w:t>67.</w:t>
            </w:r>
          </w:p>
        </w:tc>
        <w:tc>
          <w:tcPr>
            <w:tcW w:w="1835" w:type="dxa"/>
            <w:tcBorders>
              <w:left w:val="single" w:sz="6" w:space="0" w:color="000000" w:themeColor="text1"/>
              <w:bottom w:val="single" w:sz="4" w:space="0" w:color="auto"/>
              <w:right w:val="single" w:sz="6" w:space="0" w:color="000000" w:themeColor="text1"/>
            </w:tcBorders>
          </w:tcPr>
          <w:p w14:paraId="53A4E8F3" w14:textId="28B073A0" w:rsidR="00BA4FD1" w:rsidRDefault="009C6766" w:rsidP="00F76D07">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614C4EF4" w14:textId="77777777" w:rsidR="00BA4FD1" w:rsidRDefault="00BA4FD1" w:rsidP="00F76D07">
            <w:pPr>
              <w:pStyle w:val="naisc"/>
              <w:spacing w:before="0" w:after="0"/>
            </w:pPr>
            <w:r>
              <w:rPr>
                <w:b/>
              </w:rPr>
              <w:t>Tieslietu ministrija</w:t>
            </w:r>
            <w:r>
              <w:rPr>
                <w:b/>
              </w:rPr>
              <w:br/>
            </w:r>
            <w:r>
              <w:t>(18.05.2021. iebildums)</w:t>
            </w:r>
          </w:p>
          <w:p w14:paraId="477DD336" w14:textId="77777777" w:rsidR="00BA4FD1" w:rsidRDefault="00BA4FD1" w:rsidP="00F76D07">
            <w:pPr>
              <w:pStyle w:val="naisc"/>
              <w:spacing w:before="0" w:after="0"/>
            </w:pPr>
          </w:p>
          <w:p w14:paraId="520EF9DB" w14:textId="77777777" w:rsidR="00BA4FD1" w:rsidRDefault="00BA4FD1" w:rsidP="00BA4FD1">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Atbilstoši Atjaunošanas un noturības mehānisma plāna projektā noteiktajam nošķirtas investīcijas un reformas publiskās pārvaldes uzlabošanai un pasākumiem, ko plānots attiecināt, piemēram, uz noziedzīgi iegūtu līdzekļu legalizācijas, ekonomisko noziegumu identificēšanas, izmeklēšanas un tiesvedības procesu modernizāciju un preventīvo darbību īstenošanu. Publiskās pārvaldes uzlabošanas viena no reformām saistīta ar publiskās pārvaldes </w:t>
            </w:r>
            <w:r>
              <w:rPr>
                <w:rStyle w:val="normaltextrun"/>
              </w:rPr>
              <w:t>kapacitātes pilnveidi ētikas, integritātes, pretkorupcijas, krāpšanas, ēnu ekonomikas un interešu konflikta novēršanas jomās</w:t>
            </w:r>
            <w:r>
              <w:rPr>
                <w:rStyle w:val="normaltextrun"/>
                <w:color w:val="000000"/>
              </w:rPr>
              <w:t> (skat. Likuma varas komponentes  Reformu un investīciju virziens Nr. 6.3. Publiskās pārvaldes modernizācija).  </w:t>
            </w:r>
            <w:r>
              <w:rPr>
                <w:rStyle w:val="eop"/>
                <w:color w:val="000000"/>
              </w:rPr>
              <w:t> </w:t>
            </w:r>
          </w:p>
          <w:p w14:paraId="23941CA7" w14:textId="77777777" w:rsidR="00BA4FD1" w:rsidRDefault="00BA4FD1" w:rsidP="00BA4FD1">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Attiecīgi, lai radītu precīzu izpratni par mērķu grupām, aicinām projekta 48. lapā, 2. pielikuma 1.6. un 1.7. apakšpunktu formulējumā vārdus "</w:t>
            </w:r>
            <w:r>
              <w:rPr>
                <w:rStyle w:val="spellingerror"/>
                <w:color w:val="000000"/>
              </w:rPr>
              <w:t>tiesībsargājošo</w:t>
            </w:r>
            <w:r>
              <w:rPr>
                <w:rStyle w:val="normaltextrun"/>
                <w:color w:val="000000"/>
              </w:rPr>
              <w:t> un citu iesaistīto institūciju" aizstāt ar vārdiem "publiskās pārvaldes nodarbināto". </w:t>
            </w:r>
            <w:r>
              <w:rPr>
                <w:rStyle w:val="eop"/>
                <w:color w:val="000000"/>
              </w:rPr>
              <w:t> </w:t>
            </w:r>
          </w:p>
          <w:p w14:paraId="7889A00B" w14:textId="41669C6D" w:rsidR="00BA4FD1" w:rsidRPr="00BA4FD1" w:rsidRDefault="00BA4FD1" w:rsidP="00BA4FD1">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Vienlaikus vēršam uzmanību, ka Atjaunošanas un noturības mehānisma plāna projekts paredz </w:t>
            </w:r>
            <w:r>
              <w:rPr>
                <w:rStyle w:val="normaltextrun"/>
              </w:rPr>
              <w:t>Tiesnešu un prokuroru, tiesu darbinieku un prokuroru palīgu, kā arī specializēto izmeklētāju starpdisciplināros jautājumos kvalifikācijas pilnveides sistēmas reformu, izveidojot vienotu mācību centru (skat. Likuma varas komponentes investīciju Nr.6.2.1.3.i). Attiecīgi aicinām projekta 36. lapā vārdus "Justīcijas skolas" aizstāt ar vārdiem "Vienota tiesnešu, tiesu darbinieku, prokuroru, prokuroru palīgu un specializēto izmeklētāju (starpdisciplināros jautājumos) kvalifikācijas pilnveides mācību centra".</w:t>
            </w:r>
            <w:r>
              <w:rPr>
                <w:rStyle w:val="eop"/>
              </w:rPr>
              <w:t> </w:t>
            </w:r>
          </w:p>
        </w:tc>
        <w:tc>
          <w:tcPr>
            <w:tcW w:w="3427" w:type="dxa"/>
            <w:gridSpan w:val="2"/>
            <w:tcBorders>
              <w:left w:val="single" w:sz="6" w:space="0" w:color="000000" w:themeColor="text1"/>
              <w:bottom w:val="single" w:sz="4" w:space="0" w:color="auto"/>
              <w:right w:val="single" w:sz="6" w:space="0" w:color="000000" w:themeColor="text1"/>
            </w:tcBorders>
          </w:tcPr>
          <w:p w14:paraId="52CDCA2B" w14:textId="66A2C6B5" w:rsidR="00BA4FD1" w:rsidRPr="004453BE" w:rsidRDefault="00BA4FD1" w:rsidP="00F76D07">
            <w:pPr>
              <w:pStyle w:val="naisc"/>
              <w:spacing w:before="0" w:after="0"/>
              <w:jc w:val="both"/>
              <w:rPr>
                <w:b/>
                <w:bCs/>
              </w:rPr>
            </w:pPr>
            <w:r>
              <w:rPr>
                <w:b/>
                <w:bCs/>
              </w:rPr>
              <w:t>Ņemts vērā</w:t>
            </w:r>
          </w:p>
        </w:tc>
        <w:tc>
          <w:tcPr>
            <w:tcW w:w="1934" w:type="dxa"/>
            <w:tcBorders>
              <w:top w:val="single" w:sz="4" w:space="0" w:color="auto"/>
              <w:left w:val="single" w:sz="4" w:space="0" w:color="auto"/>
              <w:bottom w:val="single" w:sz="4" w:space="0" w:color="auto"/>
            </w:tcBorders>
          </w:tcPr>
          <w:p w14:paraId="3BD1BD58" w14:textId="43CE70E4" w:rsidR="00BA4FD1" w:rsidRDefault="009C6766" w:rsidP="00F76D07">
            <w:pPr>
              <w:jc w:val="both"/>
            </w:pPr>
            <w:r>
              <w:t>Skat. Plāna projekta 4.1. sadaļu un 2.pielikumu.</w:t>
            </w:r>
          </w:p>
        </w:tc>
      </w:tr>
      <w:tr w:rsidR="009C6766" w:rsidRPr="00712B66" w14:paraId="0BC28C25" w14:textId="77777777" w:rsidTr="7E8539FD">
        <w:tc>
          <w:tcPr>
            <w:tcW w:w="673" w:type="dxa"/>
            <w:tcBorders>
              <w:left w:val="single" w:sz="6" w:space="0" w:color="000000" w:themeColor="text1"/>
              <w:bottom w:val="single" w:sz="4" w:space="0" w:color="auto"/>
              <w:right w:val="single" w:sz="6" w:space="0" w:color="000000" w:themeColor="text1"/>
            </w:tcBorders>
          </w:tcPr>
          <w:p w14:paraId="776380ED" w14:textId="0D1A7442" w:rsidR="009C6766" w:rsidRDefault="009C6766" w:rsidP="00F76D07">
            <w:pPr>
              <w:pStyle w:val="naisc"/>
              <w:spacing w:before="0" w:after="0"/>
            </w:pPr>
            <w:r>
              <w:t>68.</w:t>
            </w:r>
          </w:p>
        </w:tc>
        <w:tc>
          <w:tcPr>
            <w:tcW w:w="1835" w:type="dxa"/>
            <w:tcBorders>
              <w:left w:val="single" w:sz="6" w:space="0" w:color="000000" w:themeColor="text1"/>
              <w:bottom w:val="single" w:sz="4" w:space="0" w:color="auto"/>
              <w:right w:val="single" w:sz="6" w:space="0" w:color="000000" w:themeColor="text1"/>
            </w:tcBorders>
          </w:tcPr>
          <w:p w14:paraId="3F55EAC0" w14:textId="1450992B" w:rsidR="009C6766" w:rsidRDefault="009C6766" w:rsidP="00F76D07">
            <w:pPr>
              <w:pStyle w:val="naisc"/>
              <w:spacing w:before="0" w:after="0"/>
              <w:jc w:val="both"/>
            </w:pPr>
            <w:r>
              <w:t>Skat. Plāna projektu.</w:t>
            </w:r>
          </w:p>
        </w:tc>
        <w:tc>
          <w:tcPr>
            <w:tcW w:w="7123" w:type="dxa"/>
            <w:gridSpan w:val="2"/>
            <w:tcBorders>
              <w:left w:val="single" w:sz="6" w:space="0" w:color="000000" w:themeColor="text1"/>
              <w:bottom w:val="single" w:sz="4" w:space="0" w:color="auto"/>
              <w:right w:val="single" w:sz="6" w:space="0" w:color="000000" w:themeColor="text1"/>
            </w:tcBorders>
          </w:tcPr>
          <w:p w14:paraId="3086BE2A" w14:textId="77777777" w:rsidR="009C6766" w:rsidRDefault="009C6766" w:rsidP="009C6766">
            <w:pPr>
              <w:pStyle w:val="naisc"/>
              <w:spacing w:before="0" w:after="0"/>
              <w:rPr>
                <w:b/>
              </w:rPr>
            </w:pPr>
            <w:r>
              <w:rPr>
                <w:b/>
              </w:rPr>
              <w:t>Korupcijas novēršanas un apkarošanas birojs</w:t>
            </w:r>
          </w:p>
          <w:p w14:paraId="3C3A27F3" w14:textId="6F1B0732" w:rsidR="009C6766" w:rsidRDefault="009C6766" w:rsidP="009C6766">
            <w:pPr>
              <w:pStyle w:val="naisc"/>
              <w:spacing w:before="0" w:after="0"/>
            </w:pPr>
            <w:r>
              <w:t>(21.05.2021. iebildums)</w:t>
            </w:r>
          </w:p>
          <w:p w14:paraId="6E86480B" w14:textId="77777777" w:rsidR="009C6766" w:rsidRDefault="009C6766" w:rsidP="00F76D07">
            <w:pPr>
              <w:pStyle w:val="naisc"/>
              <w:spacing w:before="0" w:after="0"/>
            </w:pPr>
          </w:p>
          <w:p w14:paraId="5E1B9BE5" w14:textId="56BB67B4" w:rsidR="009C6766" w:rsidRDefault="009C6766" w:rsidP="009C6766">
            <w:pPr>
              <w:pStyle w:val="naisc"/>
              <w:spacing w:before="0" w:after="0"/>
              <w:jc w:val="both"/>
              <w:rPr>
                <w:b/>
              </w:rPr>
            </w:pPr>
            <w:r>
              <w:t xml:space="preserve">1. Plāna projekta 2.pielikumā “Stratēģijas prioritāro virzienu pasākumi un to darbības rezultāti” par iekļautā 1.1. un 1.5. pasākuma izpildi kā </w:t>
            </w:r>
            <w:r>
              <w:lastRenderedPageBreak/>
              <w:t xml:space="preserve">līdzatbildīgā iestāde norādīts Birojs un valsts pārvaldes iestādes, savukārt par 1.4. pasākuma izpildi − Finanšu ministrija un valsts pārvaldes iestādes. </w:t>
            </w:r>
            <w:r>
              <w:br/>
              <w:t>Tiesiskās skaidrības nodrošināšanai aicinām precizēt plāna projekta 2.pielikumu, norādot, vai par noteikto pasākumu izpildi līdzatbildīgas ir visas valsts pārvaldes iestādes, vai tikai atsevišķas konkrētas iestādes.</w:t>
            </w:r>
            <w:r>
              <w:br/>
              <w:t>2. Rīkojuma projekta 2.punkts nosaka, ka Valsts kanceleja un Valsts administrācijas skola ir atbildīgās institūcijas stratēģijas īstenošanā. Savukārt pārējās institūcijas, kas atbilstoši kompetencei nodrošina stratēģijā paredzēto pasākumu īstenošanu, ir noteiktas kā līdzatbildīgās institūcijas. Vēršam uzmanību, ka plāna projekta 2.pielikumā joprojām, kā atbildīgās institūcijas ir norādītas ne tikai Valsts kanceleja un Valsts administrācijas skola, bet arī citas institūcijas.</w:t>
            </w:r>
            <w:r>
              <w:br/>
              <w:t xml:space="preserve">Ņemot vērā minēto, aicinām precizēt plāna projekta 2.pielikumu, paredzot, ka citas institūcijas ir norādītas tikai kā līdzatbildīgās, nevis atbildīgās institūcijas ietverto pasākumu izpildē. </w:t>
            </w:r>
            <w:r>
              <w:br/>
            </w:r>
          </w:p>
        </w:tc>
        <w:tc>
          <w:tcPr>
            <w:tcW w:w="3427" w:type="dxa"/>
            <w:gridSpan w:val="2"/>
            <w:tcBorders>
              <w:left w:val="single" w:sz="6" w:space="0" w:color="000000" w:themeColor="text1"/>
              <w:bottom w:val="single" w:sz="4" w:space="0" w:color="auto"/>
              <w:right w:val="single" w:sz="6" w:space="0" w:color="000000" w:themeColor="text1"/>
            </w:tcBorders>
          </w:tcPr>
          <w:p w14:paraId="2123282F" w14:textId="072E2C15" w:rsidR="009C6766" w:rsidRDefault="009C6766" w:rsidP="009C6766">
            <w:pPr>
              <w:jc w:val="both"/>
              <w:rPr>
                <w:b/>
              </w:rPr>
            </w:pPr>
            <w:r w:rsidRPr="003A00FA">
              <w:rPr>
                <w:b/>
              </w:rPr>
              <w:lastRenderedPageBreak/>
              <w:t xml:space="preserve">Uzskatāms par saskaņotu </w:t>
            </w:r>
          </w:p>
          <w:p w14:paraId="115DD316" w14:textId="5777A1F9" w:rsidR="009C6766" w:rsidRDefault="009C6766" w:rsidP="009C6766">
            <w:pPr>
              <w:jc w:val="both"/>
              <w:rPr>
                <w:b/>
              </w:rPr>
            </w:pPr>
          </w:p>
          <w:p w14:paraId="238DA307" w14:textId="0525B3FB" w:rsidR="009C6766" w:rsidRPr="009C6766" w:rsidRDefault="009C6766" w:rsidP="009C6766">
            <w:pPr>
              <w:jc w:val="both"/>
              <w:rPr>
                <w:bCs/>
              </w:rPr>
            </w:pPr>
            <w:r w:rsidRPr="009C6766">
              <w:rPr>
                <w:bCs/>
              </w:rPr>
              <w:t xml:space="preserve">Iebildumi ir pārrunāti ar KNAB un 27.05.2021. saņemts atzinums </w:t>
            </w:r>
            <w:r w:rsidRPr="009C6766">
              <w:rPr>
                <w:bCs/>
              </w:rPr>
              <w:lastRenderedPageBreak/>
              <w:t xml:space="preserve">par Plāna tālāku virzību bez iebildumiem. </w:t>
            </w:r>
          </w:p>
          <w:p w14:paraId="635265F1" w14:textId="77777777" w:rsidR="009C6766" w:rsidRDefault="009C6766" w:rsidP="00F76D07">
            <w:pPr>
              <w:pStyle w:val="naisc"/>
              <w:spacing w:before="0" w:after="0"/>
              <w:jc w:val="both"/>
              <w:rPr>
                <w:b/>
                <w:bCs/>
              </w:rPr>
            </w:pPr>
          </w:p>
          <w:p w14:paraId="6438795B" w14:textId="7770022E" w:rsidR="009C6766" w:rsidRDefault="009C6766" w:rsidP="00F76D07">
            <w:pPr>
              <w:pStyle w:val="naisc"/>
              <w:spacing w:before="0" w:after="0"/>
              <w:jc w:val="both"/>
              <w:rPr>
                <w:b/>
                <w:bCs/>
              </w:rPr>
            </w:pPr>
            <w:r>
              <w:t>Ministru kabineta 2014. gada 2. decembra noteikumu Nr. 737 "Attīstības plānošanas dokumentu izstrādes un ietekmes izvērtēšanas noteikumi" (turpmāk – Noteikumi) 25.7 apakšpunkts paredz, ka plāns ietver par pasākumu īstenošanu atbildīgās institūcijas un, ja nepieciešams, pasākumu īstenošanā iesaistītās institūcijas. Savukārt atbilstoši Noteikumu 26. punktā noteiktajam Ministru kabineta rīkojumā par plānu norāda par plāna izpildi atbildīgo institūciju.</w:t>
            </w:r>
          </w:p>
        </w:tc>
        <w:tc>
          <w:tcPr>
            <w:tcW w:w="1934" w:type="dxa"/>
            <w:tcBorders>
              <w:top w:val="single" w:sz="4" w:space="0" w:color="auto"/>
              <w:left w:val="single" w:sz="4" w:space="0" w:color="auto"/>
              <w:bottom w:val="single" w:sz="4" w:space="0" w:color="auto"/>
            </w:tcBorders>
          </w:tcPr>
          <w:p w14:paraId="659477BD" w14:textId="77777777" w:rsidR="009C6766" w:rsidRDefault="009C6766" w:rsidP="00F76D07">
            <w:pPr>
              <w:jc w:val="both"/>
            </w:pPr>
          </w:p>
        </w:tc>
      </w:tr>
      <w:tr w:rsidR="00F76D07" w:rsidRPr="00712B66" w14:paraId="4A447E78" w14:textId="77777777" w:rsidTr="7E8539FD">
        <w:tblPrEx>
          <w:tblBorders>
            <w:top w:val="none" w:sz="0" w:space="0" w:color="auto"/>
            <w:left w:val="none" w:sz="0" w:space="0" w:color="auto"/>
            <w:bottom w:val="none" w:sz="0" w:space="0" w:color="auto"/>
            <w:right w:val="none" w:sz="0" w:space="0" w:color="auto"/>
          </w:tblBorders>
        </w:tblPrEx>
        <w:trPr>
          <w:gridAfter w:val="2"/>
          <w:wAfter w:w="4341" w:type="dxa"/>
        </w:trPr>
        <w:tc>
          <w:tcPr>
            <w:tcW w:w="2786"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BD63440" w14:textId="77777777" w:rsidR="00F76D07" w:rsidRPr="00712B66" w:rsidRDefault="00F76D07" w:rsidP="00F76D07">
            <w:pPr>
              <w:pStyle w:val="naiskr"/>
              <w:spacing w:before="0" w:after="0"/>
            </w:pPr>
          </w:p>
          <w:p w14:paraId="739F5DA1" w14:textId="77777777" w:rsidR="00F76D07" w:rsidRPr="00712B66" w:rsidRDefault="00F76D07" w:rsidP="00F76D07">
            <w:pPr>
              <w:pStyle w:val="naiskr"/>
              <w:spacing w:before="0" w:after="0"/>
            </w:pPr>
            <w:r w:rsidRPr="00712B66">
              <w:t>Atbildīgā amatpersona</w:t>
            </w:r>
          </w:p>
        </w:tc>
        <w:tc>
          <w:tcPr>
            <w:tcW w:w="7865"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3D7D649" w14:textId="77777777" w:rsidR="00F76D07" w:rsidRPr="00712B66" w:rsidRDefault="00F76D07" w:rsidP="00F76D07">
            <w:pPr>
              <w:pStyle w:val="naiskr"/>
              <w:spacing w:before="0" w:after="0"/>
              <w:ind w:firstLine="720"/>
            </w:pPr>
            <w:r w:rsidRPr="00712B66">
              <w:t>  </w:t>
            </w:r>
          </w:p>
        </w:tc>
      </w:tr>
      <w:tr w:rsidR="00F76D07" w:rsidRPr="00712B66" w14:paraId="54866AA2" w14:textId="77777777" w:rsidTr="7E8539FD">
        <w:tblPrEx>
          <w:tblBorders>
            <w:top w:val="none" w:sz="0" w:space="0" w:color="auto"/>
            <w:left w:val="none" w:sz="0" w:space="0" w:color="auto"/>
            <w:bottom w:val="none" w:sz="0" w:space="0" w:color="auto"/>
            <w:right w:val="none" w:sz="0" w:space="0" w:color="auto"/>
          </w:tblBorders>
        </w:tblPrEx>
        <w:trPr>
          <w:gridAfter w:val="2"/>
          <w:wAfter w:w="4341" w:type="dxa"/>
        </w:trPr>
        <w:tc>
          <w:tcPr>
            <w:tcW w:w="2786"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0B4942A" w14:textId="77777777" w:rsidR="00F76D07" w:rsidRPr="00712B66" w:rsidRDefault="00F76D07" w:rsidP="00F76D07">
            <w:pPr>
              <w:pStyle w:val="naiskr"/>
              <w:spacing w:before="0" w:after="0"/>
              <w:ind w:firstLine="720"/>
            </w:pPr>
          </w:p>
        </w:tc>
        <w:tc>
          <w:tcPr>
            <w:tcW w:w="7865" w:type="dxa"/>
            <w:gridSpan w:val="2"/>
            <w:tcBorders>
              <w:top w:val="single" w:sz="6" w:space="0" w:color="000000" w:themeColor="text1"/>
              <w:left w:val="single" w:sz="0" w:space="0" w:color="000000" w:themeColor="text1"/>
              <w:bottom w:val="single" w:sz="0" w:space="0" w:color="000000" w:themeColor="text1"/>
              <w:right w:val="single" w:sz="0" w:space="0" w:color="000000" w:themeColor="text1"/>
            </w:tcBorders>
          </w:tcPr>
          <w:p w14:paraId="6AA4EF8A" w14:textId="77777777" w:rsidR="00F76D07" w:rsidRPr="00712B66" w:rsidRDefault="00F76D07" w:rsidP="00F76D07">
            <w:pPr>
              <w:pStyle w:val="naisc"/>
              <w:spacing w:before="0" w:after="0"/>
              <w:ind w:firstLine="720"/>
            </w:pPr>
            <w:r w:rsidRPr="00712B66">
              <w:t>(paraksts*)</w:t>
            </w:r>
          </w:p>
        </w:tc>
      </w:tr>
    </w:tbl>
    <w:p w14:paraId="43B5991A" w14:textId="77777777" w:rsidR="007116C7" w:rsidRDefault="007116C7" w:rsidP="00DB7395">
      <w:pPr>
        <w:pStyle w:val="naisf"/>
        <w:spacing w:before="0" w:after="0"/>
        <w:ind w:firstLine="720"/>
      </w:pPr>
    </w:p>
    <w:p w14:paraId="28BF4287" w14:textId="77777777" w:rsidR="003B71E0" w:rsidRPr="00712B66" w:rsidRDefault="003B71E0" w:rsidP="00DB7395">
      <w:pPr>
        <w:pStyle w:val="naisf"/>
        <w:spacing w:before="0" w:after="0"/>
        <w:ind w:firstLine="720"/>
      </w:pPr>
    </w:p>
    <w:p w14:paraId="4C6804D7" w14:textId="77777777" w:rsidR="00317DC7" w:rsidRPr="00712B66"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4D8E971A" w14:textId="68B701D2" w:rsidR="004373E1" w:rsidRDefault="004373E1" w:rsidP="00DB7395">
      <w:pPr>
        <w:pStyle w:val="naisf"/>
        <w:spacing w:before="0" w:after="0"/>
        <w:ind w:firstLine="720"/>
      </w:pPr>
    </w:p>
    <w:p w14:paraId="5F94C0D8" w14:textId="77777777" w:rsidR="00DC43CD" w:rsidRDefault="00DC43CD" w:rsidP="00DB7395">
      <w:pPr>
        <w:pStyle w:val="naisf"/>
        <w:spacing w:before="0" w:after="0"/>
        <w:ind w:firstLine="720"/>
      </w:pPr>
    </w:p>
    <w:p w14:paraId="1EC7A80F" w14:textId="39D37C95" w:rsidR="00DC43CD" w:rsidRPr="00712B66" w:rsidRDefault="006829EA" w:rsidP="006829EA">
      <w:pPr>
        <w:pStyle w:val="naisf"/>
        <w:spacing w:before="0" w:after="0"/>
        <w:ind w:left="2880" w:firstLine="720"/>
        <w:jc w:val="left"/>
      </w:pPr>
      <w:r>
        <w:t>Ērika Gromule</w:t>
      </w:r>
    </w:p>
    <w:tbl>
      <w:tblPr>
        <w:tblW w:w="0" w:type="auto"/>
        <w:tblLook w:val="00A0" w:firstRow="1" w:lastRow="0" w:firstColumn="1" w:lastColumn="0" w:noHBand="0" w:noVBand="0"/>
      </w:tblPr>
      <w:tblGrid>
        <w:gridCol w:w="8268"/>
      </w:tblGrid>
      <w:tr w:rsidR="008655A2" w:rsidRPr="00712B66" w14:paraId="422A1AD8" w14:textId="77777777">
        <w:tc>
          <w:tcPr>
            <w:tcW w:w="8268" w:type="dxa"/>
            <w:tcBorders>
              <w:top w:val="single" w:sz="4" w:space="0" w:color="000000"/>
            </w:tcBorders>
          </w:tcPr>
          <w:p w14:paraId="7247A8F8"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1EBA6E83" w14:textId="77777777">
        <w:tc>
          <w:tcPr>
            <w:tcW w:w="8268" w:type="dxa"/>
            <w:tcBorders>
              <w:bottom w:val="single" w:sz="4" w:space="0" w:color="000000"/>
            </w:tcBorders>
          </w:tcPr>
          <w:p w14:paraId="6454A7E8" w14:textId="00F0CFAA" w:rsidR="008655A2" w:rsidRPr="00712B66" w:rsidRDefault="006829EA" w:rsidP="006829EA">
            <w:pPr>
              <w:jc w:val="center"/>
            </w:pPr>
            <w:r>
              <w:t>Valsts kancelejas Valsts pārvaldes politikas departaments Cilvēkresursu politikas nodaļas vadītāja</w:t>
            </w:r>
          </w:p>
        </w:tc>
      </w:tr>
      <w:tr w:rsidR="008655A2" w:rsidRPr="00712B66" w14:paraId="1A7540A8" w14:textId="77777777">
        <w:tc>
          <w:tcPr>
            <w:tcW w:w="8268" w:type="dxa"/>
            <w:tcBorders>
              <w:top w:val="single" w:sz="4" w:space="0" w:color="000000"/>
            </w:tcBorders>
          </w:tcPr>
          <w:p w14:paraId="712E5B66" w14:textId="77777777" w:rsidR="008655A2" w:rsidRPr="00712B66" w:rsidRDefault="00184479" w:rsidP="00184479">
            <w:pPr>
              <w:jc w:val="center"/>
            </w:pPr>
            <w:r>
              <w:t>(</w:t>
            </w:r>
            <w:r w:rsidR="008655A2" w:rsidRPr="00712B66">
              <w:t>amats</w:t>
            </w:r>
            <w:r>
              <w:t>)</w:t>
            </w:r>
          </w:p>
        </w:tc>
      </w:tr>
      <w:tr w:rsidR="008655A2" w:rsidRPr="00712B66" w14:paraId="30B94723" w14:textId="77777777">
        <w:tc>
          <w:tcPr>
            <w:tcW w:w="8268" w:type="dxa"/>
            <w:tcBorders>
              <w:bottom w:val="single" w:sz="4" w:space="0" w:color="000000"/>
            </w:tcBorders>
          </w:tcPr>
          <w:p w14:paraId="1F3E3663" w14:textId="236AD303" w:rsidR="008655A2" w:rsidRPr="00712B66" w:rsidRDefault="006829EA" w:rsidP="006829EA">
            <w:pPr>
              <w:jc w:val="center"/>
            </w:pPr>
            <w:r>
              <w:lastRenderedPageBreak/>
              <w:t>67082987</w:t>
            </w:r>
          </w:p>
        </w:tc>
      </w:tr>
      <w:tr w:rsidR="008655A2" w:rsidRPr="00712B66" w14:paraId="21FAE959" w14:textId="77777777">
        <w:tc>
          <w:tcPr>
            <w:tcW w:w="8268" w:type="dxa"/>
            <w:tcBorders>
              <w:top w:val="single" w:sz="4" w:space="0" w:color="000000"/>
            </w:tcBorders>
          </w:tcPr>
          <w:p w14:paraId="4EEAD504" w14:textId="77777777" w:rsidR="008655A2" w:rsidRPr="00712B66" w:rsidRDefault="00184479" w:rsidP="00184479">
            <w:pPr>
              <w:jc w:val="center"/>
            </w:pPr>
            <w:r>
              <w:t>(</w:t>
            </w:r>
            <w:r w:rsidR="008655A2" w:rsidRPr="00712B66">
              <w:t>tālruņa un faksa numurs</w:t>
            </w:r>
            <w:r>
              <w:t>)</w:t>
            </w:r>
          </w:p>
        </w:tc>
      </w:tr>
      <w:tr w:rsidR="008655A2" w:rsidRPr="00712B66" w14:paraId="18BFD60A" w14:textId="77777777">
        <w:tc>
          <w:tcPr>
            <w:tcW w:w="8268" w:type="dxa"/>
            <w:tcBorders>
              <w:bottom w:val="single" w:sz="4" w:space="0" w:color="000000"/>
            </w:tcBorders>
          </w:tcPr>
          <w:p w14:paraId="31D6CE94" w14:textId="4147047C" w:rsidR="008655A2" w:rsidRPr="00712B66" w:rsidRDefault="006829EA" w:rsidP="006829EA">
            <w:pPr>
              <w:jc w:val="center"/>
            </w:pPr>
            <w:r>
              <w:t>erika.gromule@mk.gov.lv</w:t>
            </w:r>
          </w:p>
        </w:tc>
      </w:tr>
      <w:tr w:rsidR="008655A2" w:rsidRPr="00712B66" w14:paraId="46F2339E" w14:textId="77777777">
        <w:tc>
          <w:tcPr>
            <w:tcW w:w="8268" w:type="dxa"/>
            <w:tcBorders>
              <w:top w:val="single" w:sz="4" w:space="0" w:color="000000"/>
            </w:tcBorders>
          </w:tcPr>
          <w:p w14:paraId="1283020C" w14:textId="77777777" w:rsidR="008655A2" w:rsidRPr="00712B66" w:rsidRDefault="00184479" w:rsidP="00184479">
            <w:pPr>
              <w:jc w:val="center"/>
            </w:pPr>
            <w:r>
              <w:t>(</w:t>
            </w:r>
            <w:r w:rsidR="008655A2" w:rsidRPr="00712B66">
              <w:t>e-pasta adrese</w:t>
            </w:r>
            <w:r>
              <w:t>)</w:t>
            </w:r>
          </w:p>
        </w:tc>
      </w:tr>
    </w:tbl>
    <w:p w14:paraId="54B30326" w14:textId="77777777" w:rsidR="007116C7" w:rsidRDefault="007116C7" w:rsidP="00015C84">
      <w:pPr>
        <w:pStyle w:val="naisf"/>
        <w:spacing w:before="0" w:after="0"/>
        <w:ind w:firstLine="0"/>
        <w:jc w:val="left"/>
        <w:rPr>
          <w:sz w:val="28"/>
          <w:szCs w:val="28"/>
        </w:rPr>
      </w:pPr>
    </w:p>
    <w:sectPr w:rsidR="007116C7" w:rsidSect="00364BB6">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5A3F7" w14:textId="77777777" w:rsidR="008F4B40" w:rsidRDefault="008F4B40">
      <w:r>
        <w:separator/>
      </w:r>
    </w:p>
  </w:endnote>
  <w:endnote w:type="continuationSeparator" w:id="0">
    <w:p w14:paraId="4CAB90FB" w14:textId="77777777" w:rsidR="008F4B40" w:rsidRDefault="008F4B40">
      <w:r>
        <w:continuationSeparator/>
      </w:r>
    </w:p>
  </w:endnote>
  <w:endnote w:type="continuationNotice" w:id="1">
    <w:p w14:paraId="45E304EC" w14:textId="77777777" w:rsidR="008F4B40" w:rsidRDefault="008F4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9DAE9" w14:textId="77777777" w:rsidR="004D2A0A" w:rsidRDefault="004D2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383E7" w14:textId="1A7CC0D2" w:rsidR="003A00FA" w:rsidRPr="004D2A0A" w:rsidRDefault="004D2A0A" w:rsidP="004D2A0A">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MKIzz_040621_Macisanas plans</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9E670" w14:textId="20E73F4D" w:rsidR="003A00FA" w:rsidRPr="004D2A0A" w:rsidRDefault="004D2A0A" w:rsidP="004D2A0A">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MKIzz_040621_Macisanas plans</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1EED4" w14:textId="77777777" w:rsidR="008F4B40" w:rsidRDefault="008F4B40">
      <w:r>
        <w:separator/>
      </w:r>
    </w:p>
  </w:footnote>
  <w:footnote w:type="continuationSeparator" w:id="0">
    <w:p w14:paraId="3564032A" w14:textId="77777777" w:rsidR="008F4B40" w:rsidRDefault="008F4B40">
      <w:r>
        <w:continuationSeparator/>
      </w:r>
    </w:p>
  </w:footnote>
  <w:footnote w:type="continuationNotice" w:id="1">
    <w:p w14:paraId="485A1014" w14:textId="77777777" w:rsidR="008F4B40" w:rsidRDefault="008F4B40"/>
  </w:footnote>
  <w:footnote w:id="2">
    <w:p w14:paraId="27039FB9" w14:textId="77777777" w:rsidR="003A00FA" w:rsidRPr="001E393F" w:rsidRDefault="003A00FA" w:rsidP="000C47C4">
      <w:pPr>
        <w:pStyle w:val="FootnoteText"/>
        <w:rPr>
          <w:rFonts w:asciiTheme="minorHAnsi" w:hAnsiTheme="minorHAnsi"/>
        </w:rPr>
      </w:pPr>
      <w:r>
        <w:rPr>
          <w:rStyle w:val="FootnoteReference"/>
        </w:rPr>
        <w:footnoteRef/>
      </w:r>
      <w:r>
        <w:t xml:space="preserve"> J.Briede, E.Danovskis, A.Kovaļevska. Administratīvās tiesības. Mācību grāmata. – Rīga: Tiesu nama aģentūra, 2016, 150. – 153.lpp.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78243" w14:textId="77777777" w:rsidR="003A00FA" w:rsidRDefault="003A00F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FCFC0C" w14:textId="77777777" w:rsidR="003A00FA" w:rsidRDefault="003A0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1CBE8" w14:textId="77777777" w:rsidR="003A00FA" w:rsidRDefault="003A00F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6A4">
      <w:rPr>
        <w:rStyle w:val="PageNumber"/>
        <w:noProof/>
      </w:rPr>
      <w:t>21</w:t>
    </w:r>
    <w:r>
      <w:rPr>
        <w:rStyle w:val="PageNumber"/>
      </w:rPr>
      <w:fldChar w:fldCharType="end"/>
    </w:r>
  </w:p>
  <w:p w14:paraId="61585E05" w14:textId="77777777" w:rsidR="003A00FA" w:rsidRDefault="003A00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0981E" w14:textId="77777777" w:rsidR="004D2A0A" w:rsidRDefault="004D2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33E5"/>
    <w:multiLevelType w:val="hybridMultilevel"/>
    <w:tmpl w:val="FCD66812"/>
    <w:lvl w:ilvl="0" w:tplc="B87C249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1">
    <w:nsid w:val="0DEB1914"/>
    <w:multiLevelType w:val="hybridMultilevel"/>
    <w:tmpl w:val="DFEAAC38"/>
    <w:lvl w:ilvl="0" w:tplc="596877E0">
      <w:start w:val="1"/>
      <w:numFmt w:val="decimal"/>
      <w:lvlText w:val="%1)"/>
      <w:lvlJc w:val="left"/>
      <w:pPr>
        <w:ind w:left="720" w:hanging="360"/>
      </w:pPr>
      <w:rPr>
        <w:rFonts w:ascii="Calibri" w:eastAsia="Calibri" w:hAnsi="Calibri" w:cs="Times New Roman"/>
      </w:rPr>
    </w:lvl>
    <w:lvl w:ilvl="1" w:tplc="5E7E911C">
      <w:start w:val="1"/>
      <w:numFmt w:val="lowerLetter"/>
      <w:lvlText w:val="%2."/>
      <w:lvlJc w:val="left"/>
      <w:pPr>
        <w:ind w:left="1440" w:hanging="360"/>
      </w:pPr>
    </w:lvl>
    <w:lvl w:ilvl="2" w:tplc="691604F0">
      <w:start w:val="1"/>
      <w:numFmt w:val="lowerRoman"/>
      <w:lvlText w:val="%3."/>
      <w:lvlJc w:val="right"/>
      <w:pPr>
        <w:ind w:left="2160" w:hanging="180"/>
      </w:pPr>
    </w:lvl>
    <w:lvl w:ilvl="3" w:tplc="E640C730">
      <w:start w:val="1"/>
      <w:numFmt w:val="decimal"/>
      <w:lvlText w:val="%4."/>
      <w:lvlJc w:val="left"/>
      <w:pPr>
        <w:ind w:left="2880" w:hanging="360"/>
      </w:pPr>
    </w:lvl>
    <w:lvl w:ilvl="4" w:tplc="21E013DC">
      <w:start w:val="1"/>
      <w:numFmt w:val="lowerLetter"/>
      <w:lvlText w:val="%5."/>
      <w:lvlJc w:val="left"/>
      <w:pPr>
        <w:ind w:left="3600" w:hanging="360"/>
      </w:pPr>
    </w:lvl>
    <w:lvl w:ilvl="5" w:tplc="48405504">
      <w:start w:val="1"/>
      <w:numFmt w:val="lowerRoman"/>
      <w:lvlText w:val="%6."/>
      <w:lvlJc w:val="right"/>
      <w:pPr>
        <w:ind w:left="4320" w:hanging="180"/>
      </w:pPr>
    </w:lvl>
    <w:lvl w:ilvl="6" w:tplc="F27C36F4">
      <w:start w:val="1"/>
      <w:numFmt w:val="decimal"/>
      <w:lvlText w:val="%7."/>
      <w:lvlJc w:val="left"/>
      <w:pPr>
        <w:ind w:left="5040" w:hanging="360"/>
      </w:pPr>
    </w:lvl>
    <w:lvl w:ilvl="7" w:tplc="8C80AE70">
      <w:start w:val="1"/>
      <w:numFmt w:val="lowerLetter"/>
      <w:lvlText w:val="%8."/>
      <w:lvlJc w:val="left"/>
      <w:pPr>
        <w:ind w:left="5760" w:hanging="360"/>
      </w:pPr>
    </w:lvl>
    <w:lvl w:ilvl="8" w:tplc="ABD6A392">
      <w:start w:val="1"/>
      <w:numFmt w:val="lowerRoman"/>
      <w:lvlText w:val="%9."/>
      <w:lvlJc w:val="right"/>
      <w:pPr>
        <w:ind w:left="6480" w:hanging="180"/>
      </w:pPr>
    </w:lvl>
  </w:abstractNum>
  <w:abstractNum w:abstractNumId="2" w15:restartNumberingAfterBreak="0">
    <w:nsid w:val="19B857BF"/>
    <w:multiLevelType w:val="hybridMultilevel"/>
    <w:tmpl w:val="8B3E38AE"/>
    <w:lvl w:ilvl="0" w:tplc="B8B0CF52">
      <w:start w:val="1"/>
      <w:numFmt w:val="decimal"/>
      <w:suff w:val="space"/>
      <w:lvlText w:val="%1."/>
      <w:lvlJc w:val="left"/>
      <w:pPr>
        <w:ind w:left="0" w:firstLine="1211"/>
      </w:pPr>
      <w:rPr>
        <w:rFonts w:ascii="Times New Roman" w:hAnsi="Times New Roman" w:cs="Times New Roman" w:hint="default"/>
        <w:sz w:val="24"/>
        <w:szCs w:val="24"/>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 w15:restartNumberingAfterBreak="0">
    <w:nsid w:val="1CDB2541"/>
    <w:multiLevelType w:val="hybridMultilevel"/>
    <w:tmpl w:val="43E06F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5C128B"/>
    <w:multiLevelType w:val="hybridMultilevel"/>
    <w:tmpl w:val="C0AE8F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0B4C3F"/>
    <w:multiLevelType w:val="hybridMultilevel"/>
    <w:tmpl w:val="B8C296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73D10EC"/>
    <w:multiLevelType w:val="hybridMultilevel"/>
    <w:tmpl w:val="83EC82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CA8080A"/>
    <w:multiLevelType w:val="multilevel"/>
    <w:tmpl w:val="E0A853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1" w15:restartNumberingAfterBreak="0">
    <w:nsid w:val="7D10278F"/>
    <w:multiLevelType w:val="hybridMultilevel"/>
    <w:tmpl w:val="DB46BDCE"/>
    <w:lvl w:ilvl="0" w:tplc="304C60B8">
      <w:start w:val="1"/>
      <w:numFmt w:val="bullet"/>
      <w:lvlText w:val=""/>
      <w:lvlJc w:val="left"/>
      <w:pPr>
        <w:tabs>
          <w:tab w:val="num" w:pos="720"/>
        </w:tabs>
        <w:ind w:left="720" w:hanging="360"/>
      </w:pPr>
      <w:rPr>
        <w:rFonts w:ascii="Symbol" w:hAnsi="Symbol" w:hint="default"/>
        <w:sz w:val="20"/>
      </w:rPr>
    </w:lvl>
    <w:lvl w:ilvl="1" w:tplc="E51C0A64" w:tentative="1">
      <w:start w:val="1"/>
      <w:numFmt w:val="bullet"/>
      <w:lvlText w:val="o"/>
      <w:lvlJc w:val="left"/>
      <w:pPr>
        <w:tabs>
          <w:tab w:val="num" w:pos="1440"/>
        </w:tabs>
        <w:ind w:left="1440" w:hanging="360"/>
      </w:pPr>
      <w:rPr>
        <w:rFonts w:ascii="Courier New" w:hAnsi="Courier New" w:hint="default"/>
        <w:sz w:val="20"/>
      </w:rPr>
    </w:lvl>
    <w:lvl w:ilvl="2" w:tplc="1BA4CE5A" w:tentative="1">
      <w:start w:val="1"/>
      <w:numFmt w:val="bullet"/>
      <w:lvlText w:val=""/>
      <w:lvlJc w:val="left"/>
      <w:pPr>
        <w:tabs>
          <w:tab w:val="num" w:pos="2160"/>
        </w:tabs>
        <w:ind w:left="2160" w:hanging="360"/>
      </w:pPr>
      <w:rPr>
        <w:rFonts w:ascii="Wingdings" w:hAnsi="Wingdings" w:hint="default"/>
        <w:sz w:val="20"/>
      </w:rPr>
    </w:lvl>
    <w:lvl w:ilvl="3" w:tplc="F8A6ABBE" w:tentative="1">
      <w:start w:val="1"/>
      <w:numFmt w:val="bullet"/>
      <w:lvlText w:val=""/>
      <w:lvlJc w:val="left"/>
      <w:pPr>
        <w:tabs>
          <w:tab w:val="num" w:pos="2880"/>
        </w:tabs>
        <w:ind w:left="2880" w:hanging="360"/>
      </w:pPr>
      <w:rPr>
        <w:rFonts w:ascii="Wingdings" w:hAnsi="Wingdings" w:hint="default"/>
        <w:sz w:val="20"/>
      </w:rPr>
    </w:lvl>
    <w:lvl w:ilvl="4" w:tplc="186A044C" w:tentative="1">
      <w:start w:val="1"/>
      <w:numFmt w:val="bullet"/>
      <w:lvlText w:val=""/>
      <w:lvlJc w:val="left"/>
      <w:pPr>
        <w:tabs>
          <w:tab w:val="num" w:pos="3600"/>
        </w:tabs>
        <w:ind w:left="3600" w:hanging="360"/>
      </w:pPr>
      <w:rPr>
        <w:rFonts w:ascii="Wingdings" w:hAnsi="Wingdings" w:hint="default"/>
        <w:sz w:val="20"/>
      </w:rPr>
    </w:lvl>
    <w:lvl w:ilvl="5" w:tplc="5768852E" w:tentative="1">
      <w:start w:val="1"/>
      <w:numFmt w:val="bullet"/>
      <w:lvlText w:val=""/>
      <w:lvlJc w:val="left"/>
      <w:pPr>
        <w:tabs>
          <w:tab w:val="num" w:pos="4320"/>
        </w:tabs>
        <w:ind w:left="4320" w:hanging="360"/>
      </w:pPr>
      <w:rPr>
        <w:rFonts w:ascii="Wingdings" w:hAnsi="Wingdings" w:hint="default"/>
        <w:sz w:val="20"/>
      </w:rPr>
    </w:lvl>
    <w:lvl w:ilvl="6" w:tplc="D4B6E490" w:tentative="1">
      <w:start w:val="1"/>
      <w:numFmt w:val="bullet"/>
      <w:lvlText w:val=""/>
      <w:lvlJc w:val="left"/>
      <w:pPr>
        <w:tabs>
          <w:tab w:val="num" w:pos="5040"/>
        </w:tabs>
        <w:ind w:left="5040" w:hanging="360"/>
      </w:pPr>
      <w:rPr>
        <w:rFonts w:ascii="Wingdings" w:hAnsi="Wingdings" w:hint="default"/>
        <w:sz w:val="20"/>
      </w:rPr>
    </w:lvl>
    <w:lvl w:ilvl="7" w:tplc="14AA1BAA" w:tentative="1">
      <w:start w:val="1"/>
      <w:numFmt w:val="bullet"/>
      <w:lvlText w:val=""/>
      <w:lvlJc w:val="left"/>
      <w:pPr>
        <w:tabs>
          <w:tab w:val="num" w:pos="5760"/>
        </w:tabs>
        <w:ind w:left="5760" w:hanging="360"/>
      </w:pPr>
      <w:rPr>
        <w:rFonts w:ascii="Wingdings" w:hAnsi="Wingdings" w:hint="default"/>
        <w:sz w:val="20"/>
      </w:rPr>
    </w:lvl>
    <w:lvl w:ilvl="8" w:tplc="C5FE293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EE5271"/>
    <w:multiLevelType w:val="multilevel"/>
    <w:tmpl w:val="96F8465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11"/>
  </w:num>
  <w:num w:numId="2">
    <w:abstractNumId w:val="10"/>
  </w:num>
  <w:num w:numId="3">
    <w:abstractNumId w:val="9"/>
  </w:num>
  <w:num w:numId="4">
    <w:abstractNumId w:val="8"/>
  </w:num>
  <w:num w:numId="5">
    <w:abstractNumId w:val="6"/>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80D"/>
    <w:rsid w:val="00003C53"/>
    <w:rsid w:val="0000456E"/>
    <w:rsid w:val="000055EA"/>
    <w:rsid w:val="00006BF1"/>
    <w:rsid w:val="00010528"/>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4747"/>
    <w:rsid w:val="000579E6"/>
    <w:rsid w:val="00060E03"/>
    <w:rsid w:val="00062E36"/>
    <w:rsid w:val="00063700"/>
    <w:rsid w:val="000641CE"/>
    <w:rsid w:val="000646A4"/>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96CAB"/>
    <w:rsid w:val="000A0041"/>
    <w:rsid w:val="000A06FC"/>
    <w:rsid w:val="000A1A02"/>
    <w:rsid w:val="000A3454"/>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7C4"/>
    <w:rsid w:val="000C498A"/>
    <w:rsid w:val="000C4C16"/>
    <w:rsid w:val="000C56FC"/>
    <w:rsid w:val="000C7907"/>
    <w:rsid w:val="000C7A11"/>
    <w:rsid w:val="000C7F5E"/>
    <w:rsid w:val="000D00AC"/>
    <w:rsid w:val="000D0AED"/>
    <w:rsid w:val="000D3602"/>
    <w:rsid w:val="000D448B"/>
    <w:rsid w:val="000D4D89"/>
    <w:rsid w:val="000D6BBD"/>
    <w:rsid w:val="000D7751"/>
    <w:rsid w:val="000D7C23"/>
    <w:rsid w:val="000E0A16"/>
    <w:rsid w:val="000E11E0"/>
    <w:rsid w:val="000E1BFA"/>
    <w:rsid w:val="000E2142"/>
    <w:rsid w:val="000E21D0"/>
    <w:rsid w:val="000E2A38"/>
    <w:rsid w:val="000E2ACC"/>
    <w:rsid w:val="000E3A2E"/>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435"/>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381"/>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112B"/>
    <w:rsid w:val="00151D6E"/>
    <w:rsid w:val="001526EC"/>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6A71"/>
    <w:rsid w:val="00167590"/>
    <w:rsid w:val="00167918"/>
    <w:rsid w:val="00167C1E"/>
    <w:rsid w:val="0017043B"/>
    <w:rsid w:val="001706A1"/>
    <w:rsid w:val="00170914"/>
    <w:rsid w:val="00170DF2"/>
    <w:rsid w:val="00170EAF"/>
    <w:rsid w:val="00172B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5AD4"/>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3F0A"/>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A2D"/>
    <w:rsid w:val="001D7BA9"/>
    <w:rsid w:val="001E039D"/>
    <w:rsid w:val="001E22E7"/>
    <w:rsid w:val="001E2714"/>
    <w:rsid w:val="001E398C"/>
    <w:rsid w:val="001E4456"/>
    <w:rsid w:val="001E486F"/>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3FB"/>
    <w:rsid w:val="00215BFE"/>
    <w:rsid w:val="00215C44"/>
    <w:rsid w:val="00216E73"/>
    <w:rsid w:val="0021774C"/>
    <w:rsid w:val="00217FF6"/>
    <w:rsid w:val="00222386"/>
    <w:rsid w:val="002226C9"/>
    <w:rsid w:val="00222F51"/>
    <w:rsid w:val="002230E1"/>
    <w:rsid w:val="00223361"/>
    <w:rsid w:val="002244BA"/>
    <w:rsid w:val="002247AA"/>
    <w:rsid w:val="00224DA7"/>
    <w:rsid w:val="002261CB"/>
    <w:rsid w:val="002268BF"/>
    <w:rsid w:val="00227554"/>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379AF"/>
    <w:rsid w:val="002415BC"/>
    <w:rsid w:val="00242D53"/>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83B"/>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1EDB"/>
    <w:rsid w:val="002820A7"/>
    <w:rsid w:val="00282BA6"/>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0C09"/>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3D5"/>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2D9"/>
    <w:rsid w:val="00325D91"/>
    <w:rsid w:val="003267B4"/>
    <w:rsid w:val="00326C08"/>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1032"/>
    <w:rsid w:val="00372221"/>
    <w:rsid w:val="00372CF2"/>
    <w:rsid w:val="00373903"/>
    <w:rsid w:val="00374C7E"/>
    <w:rsid w:val="00377353"/>
    <w:rsid w:val="0037736B"/>
    <w:rsid w:val="00381F57"/>
    <w:rsid w:val="0038216E"/>
    <w:rsid w:val="003822E5"/>
    <w:rsid w:val="003830B8"/>
    <w:rsid w:val="00383262"/>
    <w:rsid w:val="0038590C"/>
    <w:rsid w:val="00391CFA"/>
    <w:rsid w:val="003A00FA"/>
    <w:rsid w:val="003A157A"/>
    <w:rsid w:val="003A1876"/>
    <w:rsid w:val="003A283F"/>
    <w:rsid w:val="003A2A16"/>
    <w:rsid w:val="003A2FDD"/>
    <w:rsid w:val="003A3C43"/>
    <w:rsid w:val="003A5CCC"/>
    <w:rsid w:val="003A70FF"/>
    <w:rsid w:val="003A74D2"/>
    <w:rsid w:val="003A756B"/>
    <w:rsid w:val="003A7902"/>
    <w:rsid w:val="003B108A"/>
    <w:rsid w:val="003B23D7"/>
    <w:rsid w:val="003B34CB"/>
    <w:rsid w:val="003B3AB4"/>
    <w:rsid w:val="003B3CA8"/>
    <w:rsid w:val="003B45D5"/>
    <w:rsid w:val="003B52FE"/>
    <w:rsid w:val="003B5477"/>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4D50"/>
    <w:rsid w:val="003D6376"/>
    <w:rsid w:val="003E1235"/>
    <w:rsid w:val="003E2A35"/>
    <w:rsid w:val="003E2B56"/>
    <w:rsid w:val="003E2CE1"/>
    <w:rsid w:val="003E2DCB"/>
    <w:rsid w:val="003E2E01"/>
    <w:rsid w:val="003E3BF2"/>
    <w:rsid w:val="003E44D3"/>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3D4D"/>
    <w:rsid w:val="00414616"/>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3BE"/>
    <w:rsid w:val="004454DF"/>
    <w:rsid w:val="00446804"/>
    <w:rsid w:val="004478D4"/>
    <w:rsid w:val="00450380"/>
    <w:rsid w:val="004505C6"/>
    <w:rsid w:val="004520CD"/>
    <w:rsid w:val="00452DF3"/>
    <w:rsid w:val="004534F5"/>
    <w:rsid w:val="00453765"/>
    <w:rsid w:val="00453E33"/>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4E3F"/>
    <w:rsid w:val="00465231"/>
    <w:rsid w:val="00465AB2"/>
    <w:rsid w:val="004662AD"/>
    <w:rsid w:val="00466516"/>
    <w:rsid w:val="00467B65"/>
    <w:rsid w:val="00471EA5"/>
    <w:rsid w:val="004720C9"/>
    <w:rsid w:val="00472257"/>
    <w:rsid w:val="00472E49"/>
    <w:rsid w:val="004730DC"/>
    <w:rsid w:val="004732BB"/>
    <w:rsid w:val="00474C60"/>
    <w:rsid w:val="00475944"/>
    <w:rsid w:val="00475DF0"/>
    <w:rsid w:val="00476525"/>
    <w:rsid w:val="004772E2"/>
    <w:rsid w:val="0047739F"/>
    <w:rsid w:val="00477F97"/>
    <w:rsid w:val="0048027D"/>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D62"/>
    <w:rsid w:val="004A2EF3"/>
    <w:rsid w:val="004A3B0D"/>
    <w:rsid w:val="004A52F5"/>
    <w:rsid w:val="004A5D3A"/>
    <w:rsid w:val="004A6897"/>
    <w:rsid w:val="004A692B"/>
    <w:rsid w:val="004A6EB6"/>
    <w:rsid w:val="004A794C"/>
    <w:rsid w:val="004B1144"/>
    <w:rsid w:val="004B3EC7"/>
    <w:rsid w:val="004B5664"/>
    <w:rsid w:val="004C2107"/>
    <w:rsid w:val="004C5FC6"/>
    <w:rsid w:val="004C6435"/>
    <w:rsid w:val="004C649B"/>
    <w:rsid w:val="004C7B9C"/>
    <w:rsid w:val="004C7D55"/>
    <w:rsid w:val="004D089A"/>
    <w:rsid w:val="004D2A0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56A8"/>
    <w:rsid w:val="004F6BFB"/>
    <w:rsid w:val="004F7E4A"/>
    <w:rsid w:val="0050147C"/>
    <w:rsid w:val="0050182B"/>
    <w:rsid w:val="00502579"/>
    <w:rsid w:val="005029F7"/>
    <w:rsid w:val="00503D4C"/>
    <w:rsid w:val="00504C0C"/>
    <w:rsid w:val="00504E48"/>
    <w:rsid w:val="005050F2"/>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4060"/>
    <w:rsid w:val="00535417"/>
    <w:rsid w:val="00535833"/>
    <w:rsid w:val="00536D28"/>
    <w:rsid w:val="005372C5"/>
    <w:rsid w:val="00537A26"/>
    <w:rsid w:val="00540E47"/>
    <w:rsid w:val="00543283"/>
    <w:rsid w:val="0054364C"/>
    <w:rsid w:val="00546747"/>
    <w:rsid w:val="00547510"/>
    <w:rsid w:val="00547ECC"/>
    <w:rsid w:val="005506DE"/>
    <w:rsid w:val="00551716"/>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878"/>
    <w:rsid w:val="00573A50"/>
    <w:rsid w:val="005746D2"/>
    <w:rsid w:val="00574E8A"/>
    <w:rsid w:val="0057685D"/>
    <w:rsid w:val="00577775"/>
    <w:rsid w:val="0057785B"/>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0F1E"/>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4BA"/>
    <w:rsid w:val="005E676C"/>
    <w:rsid w:val="005E6CB9"/>
    <w:rsid w:val="005E7F14"/>
    <w:rsid w:val="005F0154"/>
    <w:rsid w:val="005F0176"/>
    <w:rsid w:val="005F021D"/>
    <w:rsid w:val="005F1EAC"/>
    <w:rsid w:val="005F308F"/>
    <w:rsid w:val="005F30EE"/>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07605"/>
    <w:rsid w:val="00610145"/>
    <w:rsid w:val="00610D1F"/>
    <w:rsid w:val="006123C6"/>
    <w:rsid w:val="00612C02"/>
    <w:rsid w:val="00612CDD"/>
    <w:rsid w:val="0061562E"/>
    <w:rsid w:val="00616D41"/>
    <w:rsid w:val="00617292"/>
    <w:rsid w:val="00617978"/>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DD3"/>
    <w:rsid w:val="00635E4D"/>
    <w:rsid w:val="0063620C"/>
    <w:rsid w:val="00637E18"/>
    <w:rsid w:val="0064032E"/>
    <w:rsid w:val="0064038D"/>
    <w:rsid w:val="0064111A"/>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25D"/>
    <w:rsid w:val="00653F9C"/>
    <w:rsid w:val="00654E57"/>
    <w:rsid w:val="00655470"/>
    <w:rsid w:val="00655475"/>
    <w:rsid w:val="00656FEE"/>
    <w:rsid w:val="0065758F"/>
    <w:rsid w:val="00660897"/>
    <w:rsid w:val="00661028"/>
    <w:rsid w:val="006617BD"/>
    <w:rsid w:val="0066194D"/>
    <w:rsid w:val="00664695"/>
    <w:rsid w:val="00664840"/>
    <w:rsid w:val="00664B44"/>
    <w:rsid w:val="006652BF"/>
    <w:rsid w:val="006658E1"/>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9EA"/>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621"/>
    <w:rsid w:val="006E4836"/>
    <w:rsid w:val="006E5DDD"/>
    <w:rsid w:val="006E7811"/>
    <w:rsid w:val="006F04DA"/>
    <w:rsid w:val="006F0557"/>
    <w:rsid w:val="006F0EA3"/>
    <w:rsid w:val="006F1B5D"/>
    <w:rsid w:val="006F212B"/>
    <w:rsid w:val="006F2B73"/>
    <w:rsid w:val="006F37F7"/>
    <w:rsid w:val="006F3DD7"/>
    <w:rsid w:val="006F4A61"/>
    <w:rsid w:val="006F4ADC"/>
    <w:rsid w:val="006F643D"/>
    <w:rsid w:val="006F675C"/>
    <w:rsid w:val="006F6D13"/>
    <w:rsid w:val="006F74BB"/>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5E6C"/>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3686"/>
    <w:rsid w:val="007563F1"/>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1223"/>
    <w:rsid w:val="007722ED"/>
    <w:rsid w:val="007723AC"/>
    <w:rsid w:val="0077408B"/>
    <w:rsid w:val="00774AF6"/>
    <w:rsid w:val="00774EC8"/>
    <w:rsid w:val="00776781"/>
    <w:rsid w:val="007776CC"/>
    <w:rsid w:val="00777CE9"/>
    <w:rsid w:val="00780D05"/>
    <w:rsid w:val="007836A4"/>
    <w:rsid w:val="00783723"/>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37AF"/>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194C"/>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72A"/>
    <w:rsid w:val="00827C0D"/>
    <w:rsid w:val="00830220"/>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3EF"/>
    <w:rsid w:val="00867EB8"/>
    <w:rsid w:val="00870335"/>
    <w:rsid w:val="00870430"/>
    <w:rsid w:val="00870AA2"/>
    <w:rsid w:val="00872063"/>
    <w:rsid w:val="00873D88"/>
    <w:rsid w:val="0087433B"/>
    <w:rsid w:val="0087621E"/>
    <w:rsid w:val="008767B2"/>
    <w:rsid w:val="0087706A"/>
    <w:rsid w:val="00877328"/>
    <w:rsid w:val="0087787A"/>
    <w:rsid w:val="008802F0"/>
    <w:rsid w:val="00880992"/>
    <w:rsid w:val="00881692"/>
    <w:rsid w:val="00883143"/>
    <w:rsid w:val="00884EC8"/>
    <w:rsid w:val="00886154"/>
    <w:rsid w:val="00890277"/>
    <w:rsid w:val="0089061A"/>
    <w:rsid w:val="00891297"/>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8E2"/>
    <w:rsid w:val="008A5AF9"/>
    <w:rsid w:val="008B16DE"/>
    <w:rsid w:val="008B251F"/>
    <w:rsid w:val="008B2602"/>
    <w:rsid w:val="008B2727"/>
    <w:rsid w:val="008B316B"/>
    <w:rsid w:val="008B5059"/>
    <w:rsid w:val="008B5BF2"/>
    <w:rsid w:val="008B5C7C"/>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44D"/>
    <w:rsid w:val="008D1B04"/>
    <w:rsid w:val="008D2DF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4B40"/>
    <w:rsid w:val="008F57DD"/>
    <w:rsid w:val="008F5AEE"/>
    <w:rsid w:val="008F6EAA"/>
    <w:rsid w:val="008F7800"/>
    <w:rsid w:val="008F7BCA"/>
    <w:rsid w:val="008F7E54"/>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439"/>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03CF"/>
    <w:rsid w:val="009404F0"/>
    <w:rsid w:val="009412CC"/>
    <w:rsid w:val="00941A9B"/>
    <w:rsid w:val="0094388B"/>
    <w:rsid w:val="00943D09"/>
    <w:rsid w:val="00944826"/>
    <w:rsid w:val="009457A1"/>
    <w:rsid w:val="00947C5D"/>
    <w:rsid w:val="00947CA9"/>
    <w:rsid w:val="00950478"/>
    <w:rsid w:val="009507FA"/>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212"/>
    <w:rsid w:val="009727E0"/>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AF4"/>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766"/>
    <w:rsid w:val="009C6DF6"/>
    <w:rsid w:val="009C6E92"/>
    <w:rsid w:val="009D04F7"/>
    <w:rsid w:val="009D1589"/>
    <w:rsid w:val="009D2003"/>
    <w:rsid w:val="009D259B"/>
    <w:rsid w:val="009D3480"/>
    <w:rsid w:val="009D38C2"/>
    <w:rsid w:val="009D417F"/>
    <w:rsid w:val="009D45E5"/>
    <w:rsid w:val="009D4684"/>
    <w:rsid w:val="009D4B85"/>
    <w:rsid w:val="009D535B"/>
    <w:rsid w:val="009D630B"/>
    <w:rsid w:val="009D6CAA"/>
    <w:rsid w:val="009D6CF6"/>
    <w:rsid w:val="009D6E69"/>
    <w:rsid w:val="009E02DC"/>
    <w:rsid w:val="009E2040"/>
    <w:rsid w:val="009E25E2"/>
    <w:rsid w:val="009E49AE"/>
    <w:rsid w:val="009E4DC7"/>
    <w:rsid w:val="009E6236"/>
    <w:rsid w:val="009E660A"/>
    <w:rsid w:val="009E6B64"/>
    <w:rsid w:val="009E72E5"/>
    <w:rsid w:val="009F46C8"/>
    <w:rsid w:val="009F4F2A"/>
    <w:rsid w:val="009F6565"/>
    <w:rsid w:val="009F660B"/>
    <w:rsid w:val="009F671E"/>
    <w:rsid w:val="009F7ED1"/>
    <w:rsid w:val="00A0149B"/>
    <w:rsid w:val="00A01607"/>
    <w:rsid w:val="00A018D4"/>
    <w:rsid w:val="00A02CD3"/>
    <w:rsid w:val="00A02F9D"/>
    <w:rsid w:val="00A03767"/>
    <w:rsid w:val="00A04834"/>
    <w:rsid w:val="00A05628"/>
    <w:rsid w:val="00A07DCF"/>
    <w:rsid w:val="00A10DE3"/>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83E"/>
    <w:rsid w:val="00A24CD3"/>
    <w:rsid w:val="00A25461"/>
    <w:rsid w:val="00A26367"/>
    <w:rsid w:val="00A2678A"/>
    <w:rsid w:val="00A269E1"/>
    <w:rsid w:val="00A26A7F"/>
    <w:rsid w:val="00A26F44"/>
    <w:rsid w:val="00A27C1C"/>
    <w:rsid w:val="00A30F6A"/>
    <w:rsid w:val="00A31BFE"/>
    <w:rsid w:val="00A32AEA"/>
    <w:rsid w:val="00A32F32"/>
    <w:rsid w:val="00A33E80"/>
    <w:rsid w:val="00A33EFE"/>
    <w:rsid w:val="00A4148D"/>
    <w:rsid w:val="00A44D0E"/>
    <w:rsid w:val="00A4621D"/>
    <w:rsid w:val="00A470A2"/>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CC0"/>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949"/>
    <w:rsid w:val="00A87F7D"/>
    <w:rsid w:val="00A90157"/>
    <w:rsid w:val="00A906B7"/>
    <w:rsid w:val="00A9070E"/>
    <w:rsid w:val="00A92DD4"/>
    <w:rsid w:val="00A94D0F"/>
    <w:rsid w:val="00A94F13"/>
    <w:rsid w:val="00A9568C"/>
    <w:rsid w:val="00A95BED"/>
    <w:rsid w:val="00A95EA2"/>
    <w:rsid w:val="00A96907"/>
    <w:rsid w:val="00A972C6"/>
    <w:rsid w:val="00A9787E"/>
    <w:rsid w:val="00A97AF9"/>
    <w:rsid w:val="00AA08E8"/>
    <w:rsid w:val="00AA0DB4"/>
    <w:rsid w:val="00AA11C5"/>
    <w:rsid w:val="00AA17E2"/>
    <w:rsid w:val="00AA21B7"/>
    <w:rsid w:val="00AA3488"/>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67A"/>
    <w:rsid w:val="00AE2B47"/>
    <w:rsid w:val="00AE2CAD"/>
    <w:rsid w:val="00AE3090"/>
    <w:rsid w:val="00AE3560"/>
    <w:rsid w:val="00AE380E"/>
    <w:rsid w:val="00AE3AAD"/>
    <w:rsid w:val="00AE4189"/>
    <w:rsid w:val="00AE503A"/>
    <w:rsid w:val="00AE68E2"/>
    <w:rsid w:val="00AE70F0"/>
    <w:rsid w:val="00AF0157"/>
    <w:rsid w:val="00AF1B2E"/>
    <w:rsid w:val="00AF2EC7"/>
    <w:rsid w:val="00AF3AC0"/>
    <w:rsid w:val="00AF4F4A"/>
    <w:rsid w:val="00B00C24"/>
    <w:rsid w:val="00B00F93"/>
    <w:rsid w:val="00B01666"/>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0619"/>
    <w:rsid w:val="00B21057"/>
    <w:rsid w:val="00B2202B"/>
    <w:rsid w:val="00B23422"/>
    <w:rsid w:val="00B24948"/>
    <w:rsid w:val="00B24CBD"/>
    <w:rsid w:val="00B25CA3"/>
    <w:rsid w:val="00B27867"/>
    <w:rsid w:val="00B30028"/>
    <w:rsid w:val="00B31E8D"/>
    <w:rsid w:val="00B32CFC"/>
    <w:rsid w:val="00B3313B"/>
    <w:rsid w:val="00B331E8"/>
    <w:rsid w:val="00B331EA"/>
    <w:rsid w:val="00B34732"/>
    <w:rsid w:val="00B353B8"/>
    <w:rsid w:val="00B35C56"/>
    <w:rsid w:val="00B36F17"/>
    <w:rsid w:val="00B372ED"/>
    <w:rsid w:val="00B40603"/>
    <w:rsid w:val="00B40AF6"/>
    <w:rsid w:val="00B40BB8"/>
    <w:rsid w:val="00B41071"/>
    <w:rsid w:val="00B425C0"/>
    <w:rsid w:val="00B42DB6"/>
    <w:rsid w:val="00B46957"/>
    <w:rsid w:val="00B47B54"/>
    <w:rsid w:val="00B50E99"/>
    <w:rsid w:val="00B51926"/>
    <w:rsid w:val="00B51F9A"/>
    <w:rsid w:val="00B54DA7"/>
    <w:rsid w:val="00B5797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19AC"/>
    <w:rsid w:val="00B734C2"/>
    <w:rsid w:val="00B73BDA"/>
    <w:rsid w:val="00B73D01"/>
    <w:rsid w:val="00B74053"/>
    <w:rsid w:val="00B765A0"/>
    <w:rsid w:val="00B76C02"/>
    <w:rsid w:val="00B77BD2"/>
    <w:rsid w:val="00B814CB"/>
    <w:rsid w:val="00B81B6A"/>
    <w:rsid w:val="00B820F4"/>
    <w:rsid w:val="00B835E0"/>
    <w:rsid w:val="00B8396D"/>
    <w:rsid w:val="00B90331"/>
    <w:rsid w:val="00B903ED"/>
    <w:rsid w:val="00B90B2D"/>
    <w:rsid w:val="00B91727"/>
    <w:rsid w:val="00B933D1"/>
    <w:rsid w:val="00B935A1"/>
    <w:rsid w:val="00B95DAD"/>
    <w:rsid w:val="00B96C0C"/>
    <w:rsid w:val="00B9734D"/>
    <w:rsid w:val="00B97732"/>
    <w:rsid w:val="00BA27F4"/>
    <w:rsid w:val="00BA2E40"/>
    <w:rsid w:val="00BA3CB7"/>
    <w:rsid w:val="00BA41DE"/>
    <w:rsid w:val="00BA4FD1"/>
    <w:rsid w:val="00BA556C"/>
    <w:rsid w:val="00BB0F31"/>
    <w:rsid w:val="00BB15AB"/>
    <w:rsid w:val="00BB189B"/>
    <w:rsid w:val="00BB1D21"/>
    <w:rsid w:val="00BB2E51"/>
    <w:rsid w:val="00BB4BEA"/>
    <w:rsid w:val="00BB4C1A"/>
    <w:rsid w:val="00BB50AB"/>
    <w:rsid w:val="00BB6664"/>
    <w:rsid w:val="00BC01FC"/>
    <w:rsid w:val="00BC1EA1"/>
    <w:rsid w:val="00BC1F79"/>
    <w:rsid w:val="00BC2201"/>
    <w:rsid w:val="00BC3C7A"/>
    <w:rsid w:val="00BC79CC"/>
    <w:rsid w:val="00BC7DC6"/>
    <w:rsid w:val="00BD0B7B"/>
    <w:rsid w:val="00BD1039"/>
    <w:rsid w:val="00BD13B5"/>
    <w:rsid w:val="00BD2EFC"/>
    <w:rsid w:val="00BD340E"/>
    <w:rsid w:val="00BD60AD"/>
    <w:rsid w:val="00BD6C02"/>
    <w:rsid w:val="00BE10C3"/>
    <w:rsid w:val="00BE1244"/>
    <w:rsid w:val="00BE165D"/>
    <w:rsid w:val="00BE2394"/>
    <w:rsid w:val="00BE2702"/>
    <w:rsid w:val="00BE4326"/>
    <w:rsid w:val="00BE5F4F"/>
    <w:rsid w:val="00BE60DB"/>
    <w:rsid w:val="00BF0191"/>
    <w:rsid w:val="00BF13EC"/>
    <w:rsid w:val="00BF1C07"/>
    <w:rsid w:val="00BF3DEE"/>
    <w:rsid w:val="00BF54AC"/>
    <w:rsid w:val="00BF54BD"/>
    <w:rsid w:val="00BF6B8E"/>
    <w:rsid w:val="00BF7616"/>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538F"/>
    <w:rsid w:val="00C362E0"/>
    <w:rsid w:val="00C36362"/>
    <w:rsid w:val="00C36ED4"/>
    <w:rsid w:val="00C376CC"/>
    <w:rsid w:val="00C400F7"/>
    <w:rsid w:val="00C406E9"/>
    <w:rsid w:val="00C40EC6"/>
    <w:rsid w:val="00C419AD"/>
    <w:rsid w:val="00C41B5F"/>
    <w:rsid w:val="00C42039"/>
    <w:rsid w:val="00C437BA"/>
    <w:rsid w:val="00C44395"/>
    <w:rsid w:val="00C443B3"/>
    <w:rsid w:val="00C45CE8"/>
    <w:rsid w:val="00C46DEA"/>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485"/>
    <w:rsid w:val="00C678C4"/>
    <w:rsid w:val="00C70FE2"/>
    <w:rsid w:val="00C71215"/>
    <w:rsid w:val="00C7216B"/>
    <w:rsid w:val="00C727BE"/>
    <w:rsid w:val="00C732A9"/>
    <w:rsid w:val="00C73448"/>
    <w:rsid w:val="00C73E2E"/>
    <w:rsid w:val="00C74546"/>
    <w:rsid w:val="00C748E2"/>
    <w:rsid w:val="00C75F19"/>
    <w:rsid w:val="00C7776C"/>
    <w:rsid w:val="00C8398D"/>
    <w:rsid w:val="00C84BC2"/>
    <w:rsid w:val="00C85139"/>
    <w:rsid w:val="00C85657"/>
    <w:rsid w:val="00C91C88"/>
    <w:rsid w:val="00C9210B"/>
    <w:rsid w:val="00C939C3"/>
    <w:rsid w:val="00C94228"/>
    <w:rsid w:val="00C96A8C"/>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3D7"/>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3B1D"/>
    <w:rsid w:val="00D0624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7B77"/>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0B0F"/>
    <w:rsid w:val="00D60E86"/>
    <w:rsid w:val="00D61477"/>
    <w:rsid w:val="00D619E2"/>
    <w:rsid w:val="00D61EE3"/>
    <w:rsid w:val="00D62036"/>
    <w:rsid w:val="00D620CC"/>
    <w:rsid w:val="00D62505"/>
    <w:rsid w:val="00D634B8"/>
    <w:rsid w:val="00D63EF3"/>
    <w:rsid w:val="00D64441"/>
    <w:rsid w:val="00D64711"/>
    <w:rsid w:val="00D64C73"/>
    <w:rsid w:val="00D64FB0"/>
    <w:rsid w:val="00D65497"/>
    <w:rsid w:val="00D654DA"/>
    <w:rsid w:val="00D6609E"/>
    <w:rsid w:val="00D673A2"/>
    <w:rsid w:val="00D676FE"/>
    <w:rsid w:val="00D67A9F"/>
    <w:rsid w:val="00D67C20"/>
    <w:rsid w:val="00D70C1B"/>
    <w:rsid w:val="00D70E5C"/>
    <w:rsid w:val="00D7146C"/>
    <w:rsid w:val="00D718CD"/>
    <w:rsid w:val="00D7416F"/>
    <w:rsid w:val="00D755F2"/>
    <w:rsid w:val="00D762AC"/>
    <w:rsid w:val="00D770E9"/>
    <w:rsid w:val="00D775E7"/>
    <w:rsid w:val="00D77B9E"/>
    <w:rsid w:val="00D81CA9"/>
    <w:rsid w:val="00D839D8"/>
    <w:rsid w:val="00D83F9E"/>
    <w:rsid w:val="00D840C2"/>
    <w:rsid w:val="00D84562"/>
    <w:rsid w:val="00D85C16"/>
    <w:rsid w:val="00D86169"/>
    <w:rsid w:val="00D8732E"/>
    <w:rsid w:val="00D91294"/>
    <w:rsid w:val="00D9186A"/>
    <w:rsid w:val="00D92D47"/>
    <w:rsid w:val="00D92EEA"/>
    <w:rsid w:val="00D94213"/>
    <w:rsid w:val="00D94BEB"/>
    <w:rsid w:val="00D94EA5"/>
    <w:rsid w:val="00D95F32"/>
    <w:rsid w:val="00DA024A"/>
    <w:rsid w:val="00DA07EE"/>
    <w:rsid w:val="00DA0A58"/>
    <w:rsid w:val="00DA1C85"/>
    <w:rsid w:val="00DA1CC9"/>
    <w:rsid w:val="00DA2E58"/>
    <w:rsid w:val="00DA328E"/>
    <w:rsid w:val="00DA3AA6"/>
    <w:rsid w:val="00DA46C1"/>
    <w:rsid w:val="00DA53D5"/>
    <w:rsid w:val="00DA70DD"/>
    <w:rsid w:val="00DB088F"/>
    <w:rsid w:val="00DB0B4A"/>
    <w:rsid w:val="00DB1487"/>
    <w:rsid w:val="00DB19B4"/>
    <w:rsid w:val="00DB19F1"/>
    <w:rsid w:val="00DB26AE"/>
    <w:rsid w:val="00DB3171"/>
    <w:rsid w:val="00DB4411"/>
    <w:rsid w:val="00DB466D"/>
    <w:rsid w:val="00DB5FD0"/>
    <w:rsid w:val="00DB7395"/>
    <w:rsid w:val="00DB75C2"/>
    <w:rsid w:val="00DB7E2C"/>
    <w:rsid w:val="00DC027B"/>
    <w:rsid w:val="00DC0A64"/>
    <w:rsid w:val="00DC0FC4"/>
    <w:rsid w:val="00DC1B9A"/>
    <w:rsid w:val="00DC2344"/>
    <w:rsid w:val="00DC2E4F"/>
    <w:rsid w:val="00DC34B9"/>
    <w:rsid w:val="00DC384C"/>
    <w:rsid w:val="00DC40C4"/>
    <w:rsid w:val="00DC43CD"/>
    <w:rsid w:val="00DC4AFD"/>
    <w:rsid w:val="00DC4D87"/>
    <w:rsid w:val="00DC4D8A"/>
    <w:rsid w:val="00DC6DF6"/>
    <w:rsid w:val="00DC7BFE"/>
    <w:rsid w:val="00DD08C7"/>
    <w:rsid w:val="00DD1A10"/>
    <w:rsid w:val="00DD200D"/>
    <w:rsid w:val="00DD259C"/>
    <w:rsid w:val="00DD2990"/>
    <w:rsid w:val="00DD2FE9"/>
    <w:rsid w:val="00DD3A7E"/>
    <w:rsid w:val="00DD434E"/>
    <w:rsid w:val="00DD4402"/>
    <w:rsid w:val="00DD56DC"/>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57A"/>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1C3D"/>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0FB1"/>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1FB7"/>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2E3F"/>
    <w:rsid w:val="00EA4964"/>
    <w:rsid w:val="00EA4F1A"/>
    <w:rsid w:val="00EB02DE"/>
    <w:rsid w:val="00EB0A07"/>
    <w:rsid w:val="00EB1B69"/>
    <w:rsid w:val="00EB1C78"/>
    <w:rsid w:val="00EB3B46"/>
    <w:rsid w:val="00EB4F08"/>
    <w:rsid w:val="00EB611E"/>
    <w:rsid w:val="00EB6F66"/>
    <w:rsid w:val="00EC1E63"/>
    <w:rsid w:val="00EC2E07"/>
    <w:rsid w:val="00EC38A7"/>
    <w:rsid w:val="00EC43C7"/>
    <w:rsid w:val="00EC465D"/>
    <w:rsid w:val="00EC5C89"/>
    <w:rsid w:val="00EC66D2"/>
    <w:rsid w:val="00EC67E7"/>
    <w:rsid w:val="00ED008E"/>
    <w:rsid w:val="00ED0A1B"/>
    <w:rsid w:val="00ED21BC"/>
    <w:rsid w:val="00ED2FEC"/>
    <w:rsid w:val="00ED3F67"/>
    <w:rsid w:val="00ED440A"/>
    <w:rsid w:val="00ED7971"/>
    <w:rsid w:val="00EE0748"/>
    <w:rsid w:val="00EE29A0"/>
    <w:rsid w:val="00EE2CEA"/>
    <w:rsid w:val="00EE3365"/>
    <w:rsid w:val="00EE48DF"/>
    <w:rsid w:val="00EE4AB3"/>
    <w:rsid w:val="00EE58C1"/>
    <w:rsid w:val="00EE7405"/>
    <w:rsid w:val="00EF033E"/>
    <w:rsid w:val="00EF06EC"/>
    <w:rsid w:val="00EF14FF"/>
    <w:rsid w:val="00EF27C6"/>
    <w:rsid w:val="00EF2BFE"/>
    <w:rsid w:val="00EF2D85"/>
    <w:rsid w:val="00EF402C"/>
    <w:rsid w:val="00EF45E0"/>
    <w:rsid w:val="00EF4E6F"/>
    <w:rsid w:val="00EF5C82"/>
    <w:rsid w:val="00EF600F"/>
    <w:rsid w:val="00EF7A15"/>
    <w:rsid w:val="00F01F8C"/>
    <w:rsid w:val="00F03021"/>
    <w:rsid w:val="00F035A6"/>
    <w:rsid w:val="00F04AD0"/>
    <w:rsid w:val="00F10033"/>
    <w:rsid w:val="00F107EE"/>
    <w:rsid w:val="00F10848"/>
    <w:rsid w:val="00F10B68"/>
    <w:rsid w:val="00F11AFC"/>
    <w:rsid w:val="00F11F55"/>
    <w:rsid w:val="00F12DEC"/>
    <w:rsid w:val="00F13151"/>
    <w:rsid w:val="00F14720"/>
    <w:rsid w:val="00F15523"/>
    <w:rsid w:val="00F16391"/>
    <w:rsid w:val="00F2062B"/>
    <w:rsid w:val="00F21A18"/>
    <w:rsid w:val="00F21E61"/>
    <w:rsid w:val="00F220EA"/>
    <w:rsid w:val="00F222CD"/>
    <w:rsid w:val="00F243DA"/>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94E"/>
    <w:rsid w:val="00F41E79"/>
    <w:rsid w:val="00F42D9E"/>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11A1"/>
    <w:rsid w:val="00F72FA8"/>
    <w:rsid w:val="00F75415"/>
    <w:rsid w:val="00F75F94"/>
    <w:rsid w:val="00F76D07"/>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6EF0"/>
    <w:rsid w:val="00F977C7"/>
    <w:rsid w:val="00FA0890"/>
    <w:rsid w:val="00FA164A"/>
    <w:rsid w:val="00FA3F3E"/>
    <w:rsid w:val="00FA4272"/>
    <w:rsid w:val="00FA4855"/>
    <w:rsid w:val="00FA4ACD"/>
    <w:rsid w:val="00FA6428"/>
    <w:rsid w:val="00FA7144"/>
    <w:rsid w:val="00FA7184"/>
    <w:rsid w:val="00FB087D"/>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0C"/>
    <w:rsid w:val="00FE7575"/>
    <w:rsid w:val="00FF1070"/>
    <w:rsid w:val="00FF13E2"/>
    <w:rsid w:val="00FF2237"/>
    <w:rsid w:val="00FF4953"/>
    <w:rsid w:val="00FF5FA3"/>
    <w:rsid w:val="00FF5FCE"/>
    <w:rsid w:val="00FF6177"/>
    <w:rsid w:val="00FF6AD9"/>
    <w:rsid w:val="02CC4B92"/>
    <w:rsid w:val="0368A7BC"/>
    <w:rsid w:val="03C7209F"/>
    <w:rsid w:val="0408EFEE"/>
    <w:rsid w:val="04CC51E8"/>
    <w:rsid w:val="04EB84BD"/>
    <w:rsid w:val="0573D66E"/>
    <w:rsid w:val="05A985AC"/>
    <w:rsid w:val="05B0101F"/>
    <w:rsid w:val="05FE3560"/>
    <w:rsid w:val="0823257F"/>
    <w:rsid w:val="08C39A40"/>
    <w:rsid w:val="0B6EB755"/>
    <w:rsid w:val="0CF73AB4"/>
    <w:rsid w:val="0D660E0C"/>
    <w:rsid w:val="0E04B76B"/>
    <w:rsid w:val="0E6DD627"/>
    <w:rsid w:val="0EE4BB62"/>
    <w:rsid w:val="0EFD8D26"/>
    <w:rsid w:val="10A075CB"/>
    <w:rsid w:val="11E361DF"/>
    <w:rsid w:val="140FDAD2"/>
    <w:rsid w:val="159E5E9A"/>
    <w:rsid w:val="182203FA"/>
    <w:rsid w:val="19FD1E78"/>
    <w:rsid w:val="1A52C3E4"/>
    <w:rsid w:val="21CEF0B8"/>
    <w:rsid w:val="23023C85"/>
    <w:rsid w:val="23848D88"/>
    <w:rsid w:val="2489277E"/>
    <w:rsid w:val="2724C654"/>
    <w:rsid w:val="29F89965"/>
    <w:rsid w:val="2A4BCF3C"/>
    <w:rsid w:val="2C083A2E"/>
    <w:rsid w:val="2CC3404D"/>
    <w:rsid w:val="2ECCE6F1"/>
    <w:rsid w:val="316F898B"/>
    <w:rsid w:val="32EF0244"/>
    <w:rsid w:val="33921307"/>
    <w:rsid w:val="34557501"/>
    <w:rsid w:val="34DB49A4"/>
    <w:rsid w:val="35421299"/>
    <w:rsid w:val="383EAFC8"/>
    <w:rsid w:val="3A4BCF69"/>
    <w:rsid w:val="3A9305E0"/>
    <w:rsid w:val="3B2476DB"/>
    <w:rsid w:val="3C0BCE45"/>
    <w:rsid w:val="3CB0634F"/>
    <w:rsid w:val="3D4D1811"/>
    <w:rsid w:val="3D732D6A"/>
    <w:rsid w:val="3D8052F3"/>
    <w:rsid w:val="3EE15E48"/>
    <w:rsid w:val="4058B6EA"/>
    <w:rsid w:val="42676784"/>
    <w:rsid w:val="4386FB45"/>
    <w:rsid w:val="443C677C"/>
    <w:rsid w:val="44A24CD7"/>
    <w:rsid w:val="458A6910"/>
    <w:rsid w:val="465FC803"/>
    <w:rsid w:val="47D7C727"/>
    <w:rsid w:val="4921FAFA"/>
    <w:rsid w:val="4956428A"/>
    <w:rsid w:val="4A168EC5"/>
    <w:rsid w:val="4B868476"/>
    <w:rsid w:val="4BF4C73E"/>
    <w:rsid w:val="4C99195D"/>
    <w:rsid w:val="4CCF0987"/>
    <w:rsid w:val="4D05220A"/>
    <w:rsid w:val="4D68BCE0"/>
    <w:rsid w:val="4E2E790A"/>
    <w:rsid w:val="50D22FD0"/>
    <w:rsid w:val="50FB9A43"/>
    <w:rsid w:val="521614C0"/>
    <w:rsid w:val="522AC0E1"/>
    <w:rsid w:val="5320720D"/>
    <w:rsid w:val="54106333"/>
    <w:rsid w:val="54D2547D"/>
    <w:rsid w:val="56A6202D"/>
    <w:rsid w:val="574DD498"/>
    <w:rsid w:val="578FE7B7"/>
    <w:rsid w:val="590AC8C6"/>
    <w:rsid w:val="5A144E19"/>
    <w:rsid w:val="5A68553D"/>
    <w:rsid w:val="5C4A9302"/>
    <w:rsid w:val="5C819E1B"/>
    <w:rsid w:val="5E88EB38"/>
    <w:rsid w:val="5EA63B85"/>
    <w:rsid w:val="61143D9E"/>
    <w:rsid w:val="626FE800"/>
    <w:rsid w:val="64C8BCC4"/>
    <w:rsid w:val="6B4E45E3"/>
    <w:rsid w:val="6C2E470F"/>
    <w:rsid w:val="70A9FD3D"/>
    <w:rsid w:val="70F33CB4"/>
    <w:rsid w:val="7193E775"/>
    <w:rsid w:val="72027DA1"/>
    <w:rsid w:val="7203EF59"/>
    <w:rsid w:val="7257BC92"/>
    <w:rsid w:val="748D2D8C"/>
    <w:rsid w:val="770CE85D"/>
    <w:rsid w:val="770D16D2"/>
    <w:rsid w:val="78417E84"/>
    <w:rsid w:val="7893D356"/>
    <w:rsid w:val="78B50F22"/>
    <w:rsid w:val="7AB8C7FA"/>
    <w:rsid w:val="7CB21394"/>
    <w:rsid w:val="7DFECABB"/>
    <w:rsid w:val="7E8539FD"/>
    <w:rsid w:val="7EF355E0"/>
    <w:rsid w:val="7F861A6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4225D"/>
  <w15:chartTrackingRefBased/>
  <w15:docId w15:val="{7CB637C6-E3E8-405A-BFAD-7DEF662C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3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H&amp;P List Paragraph,2,Strip,Colorful List - Accent 12,Normal bullet 2,Bullet list,Numbered List,List Paragraph1,1st level - Bullet List Paragraph,Lettre d'introduction,Paragraph,Bullet EY,List Paragraph11,Normal bullet 21,PPS_Bullet"/>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H&amp;P List Paragraph Char,2 Char,Strip Char,Colorful List - Accent 12 Char,Normal bullet 2 Char,Bullet list Char,Numbered List Char,List Paragraph1 Char,1st level - Bullet List Paragraph Char,Lettre d'introduction Char,Paragraph Char"/>
    <w:link w:val="ListParagraph"/>
    <w:uiPriority w:val="34"/>
    <w:qFormat/>
    <w:rsid w:val="0057685D"/>
    <w:rPr>
      <w:rFonts w:ascii="Calibri" w:hAnsi="Calibri"/>
      <w:sz w:val="22"/>
      <w:szCs w:val="22"/>
      <w:lang w:eastAsia="en-US"/>
    </w:rPr>
  </w:style>
  <w:style w:type="paragraph" w:styleId="FootnoteText">
    <w:name w:val="footnote text"/>
    <w:basedOn w:val="Normal"/>
    <w:link w:val="FootnoteTextChar"/>
    <w:rsid w:val="000C47C4"/>
    <w:rPr>
      <w:rFonts w:ascii="RimTimes" w:hAnsi="RimTimes"/>
      <w:sz w:val="20"/>
      <w:szCs w:val="20"/>
      <w:lang w:eastAsia="en-US"/>
    </w:rPr>
  </w:style>
  <w:style w:type="character" w:customStyle="1" w:styleId="FootnoteTextChar">
    <w:name w:val="Footnote Text Char"/>
    <w:basedOn w:val="DefaultParagraphFont"/>
    <w:link w:val="FootnoteText"/>
    <w:rsid w:val="000C47C4"/>
    <w:rPr>
      <w:rFonts w:ascii="RimTimes" w:hAnsi="RimTimes"/>
      <w:lang w:eastAsia="en-US"/>
    </w:rPr>
  </w:style>
  <w:style w:type="character" w:styleId="FootnoteReference">
    <w:name w:val="footnote reference"/>
    <w:basedOn w:val="DefaultParagraphFont"/>
    <w:rsid w:val="000C47C4"/>
    <w:rPr>
      <w:vertAlign w:val="superscript"/>
    </w:rPr>
  </w:style>
  <w:style w:type="paragraph" w:customStyle="1" w:styleId="tv2132">
    <w:name w:val="tv2132"/>
    <w:basedOn w:val="Normal"/>
    <w:rsid w:val="000D448B"/>
    <w:pPr>
      <w:spacing w:line="360" w:lineRule="auto"/>
      <w:ind w:firstLine="300"/>
    </w:pPr>
    <w:rPr>
      <w:color w:val="414142"/>
      <w:sz w:val="20"/>
      <w:szCs w:val="20"/>
    </w:rPr>
  </w:style>
  <w:style w:type="paragraph" w:customStyle="1" w:styleId="tv213">
    <w:name w:val="tv213"/>
    <w:basedOn w:val="Normal"/>
    <w:rsid w:val="00391CFA"/>
    <w:pPr>
      <w:spacing w:before="100" w:beforeAutospacing="1" w:after="100" w:afterAutospacing="1"/>
    </w:pPr>
  </w:style>
  <w:style w:type="paragraph" w:customStyle="1" w:styleId="paragraph">
    <w:name w:val="paragraph"/>
    <w:basedOn w:val="Normal"/>
    <w:rsid w:val="00BA4FD1"/>
    <w:pPr>
      <w:spacing w:before="100" w:beforeAutospacing="1" w:after="100" w:afterAutospacing="1"/>
    </w:pPr>
  </w:style>
  <w:style w:type="character" w:customStyle="1" w:styleId="normaltextrun">
    <w:name w:val="normaltextrun"/>
    <w:basedOn w:val="DefaultParagraphFont"/>
    <w:rsid w:val="00BA4FD1"/>
  </w:style>
  <w:style w:type="character" w:customStyle="1" w:styleId="eop">
    <w:name w:val="eop"/>
    <w:basedOn w:val="DefaultParagraphFont"/>
    <w:rsid w:val="00BA4FD1"/>
  </w:style>
  <w:style w:type="character" w:customStyle="1" w:styleId="spellingerror">
    <w:name w:val="spellingerror"/>
    <w:basedOn w:val="DefaultParagraphFont"/>
    <w:rsid w:val="00BA4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7914168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5449516">
      <w:bodyDiv w:val="1"/>
      <w:marLeft w:val="0"/>
      <w:marRight w:val="0"/>
      <w:marTop w:val="0"/>
      <w:marBottom w:val="0"/>
      <w:divBdr>
        <w:top w:val="none" w:sz="0" w:space="0" w:color="auto"/>
        <w:left w:val="none" w:sz="0" w:space="0" w:color="auto"/>
        <w:bottom w:val="none" w:sz="0" w:space="0" w:color="auto"/>
        <w:right w:val="none" w:sz="0" w:space="0" w:color="auto"/>
      </w:divBdr>
    </w:div>
    <w:div w:id="769352038">
      <w:bodyDiv w:val="1"/>
      <w:marLeft w:val="0"/>
      <w:marRight w:val="0"/>
      <w:marTop w:val="0"/>
      <w:marBottom w:val="0"/>
      <w:divBdr>
        <w:top w:val="none" w:sz="0" w:space="0" w:color="auto"/>
        <w:left w:val="none" w:sz="0" w:space="0" w:color="auto"/>
        <w:bottom w:val="none" w:sz="0" w:space="0" w:color="auto"/>
        <w:right w:val="none" w:sz="0" w:space="0" w:color="auto"/>
      </w:divBdr>
    </w:div>
    <w:div w:id="886262249">
      <w:bodyDiv w:val="1"/>
      <w:marLeft w:val="0"/>
      <w:marRight w:val="0"/>
      <w:marTop w:val="0"/>
      <w:marBottom w:val="0"/>
      <w:divBdr>
        <w:top w:val="none" w:sz="0" w:space="0" w:color="auto"/>
        <w:left w:val="none" w:sz="0" w:space="0" w:color="auto"/>
        <w:bottom w:val="none" w:sz="0" w:space="0" w:color="auto"/>
        <w:right w:val="none" w:sz="0" w:space="0" w:color="auto"/>
      </w:divBdr>
    </w:div>
    <w:div w:id="1021205947">
      <w:bodyDiv w:val="1"/>
      <w:marLeft w:val="0"/>
      <w:marRight w:val="0"/>
      <w:marTop w:val="0"/>
      <w:marBottom w:val="0"/>
      <w:divBdr>
        <w:top w:val="none" w:sz="0" w:space="0" w:color="auto"/>
        <w:left w:val="none" w:sz="0" w:space="0" w:color="auto"/>
        <w:bottom w:val="none" w:sz="0" w:space="0" w:color="auto"/>
        <w:right w:val="none" w:sz="0" w:space="0" w:color="auto"/>
      </w:divBdr>
      <w:divsChild>
        <w:div w:id="468280418">
          <w:marLeft w:val="0"/>
          <w:marRight w:val="0"/>
          <w:marTop w:val="0"/>
          <w:marBottom w:val="0"/>
          <w:divBdr>
            <w:top w:val="none" w:sz="0" w:space="0" w:color="auto"/>
            <w:left w:val="none" w:sz="0" w:space="0" w:color="auto"/>
            <w:bottom w:val="none" w:sz="0" w:space="0" w:color="auto"/>
            <w:right w:val="none" w:sz="0" w:space="0" w:color="auto"/>
          </w:divBdr>
        </w:div>
        <w:div w:id="681053468">
          <w:marLeft w:val="0"/>
          <w:marRight w:val="0"/>
          <w:marTop w:val="0"/>
          <w:marBottom w:val="0"/>
          <w:divBdr>
            <w:top w:val="none" w:sz="0" w:space="0" w:color="auto"/>
            <w:left w:val="none" w:sz="0" w:space="0" w:color="auto"/>
            <w:bottom w:val="none" w:sz="0" w:space="0" w:color="auto"/>
            <w:right w:val="none" w:sz="0" w:space="0" w:color="auto"/>
          </w:divBdr>
        </w:div>
        <w:div w:id="31853961">
          <w:marLeft w:val="0"/>
          <w:marRight w:val="0"/>
          <w:marTop w:val="0"/>
          <w:marBottom w:val="0"/>
          <w:divBdr>
            <w:top w:val="none" w:sz="0" w:space="0" w:color="auto"/>
            <w:left w:val="none" w:sz="0" w:space="0" w:color="auto"/>
            <w:bottom w:val="none" w:sz="0" w:space="0" w:color="auto"/>
            <w:right w:val="none" w:sz="0" w:space="0" w:color="auto"/>
          </w:divBdr>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8161396">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669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sadalas/iekseja_audita_politika/parskati/2019_gada/62791-2019-gad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12" ma:contentTypeDescription="Izveidot jaunu dokumentu." ma:contentTypeScope="" ma:versionID="fed976e3170ddac5d23d372c427ad2bc">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56b813e2183b81f53aede715b68ec0cc"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0790E-CDA3-46F5-A223-1908CDEF072C}">
  <ds:schemaRefs>
    <ds:schemaRef ds:uri="http://schemas.microsoft.com/sharepoint/v3/contenttype/forms"/>
  </ds:schemaRefs>
</ds:datastoreItem>
</file>

<file path=customXml/itemProps2.xml><?xml version="1.0" encoding="utf-8"?>
<ds:datastoreItem xmlns:ds="http://schemas.openxmlformats.org/officeDocument/2006/customXml" ds:itemID="{66357D9A-9F14-4D29-A1AD-B33338037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D88AC-CA9F-49FE-B73E-6E62EC719C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AA19F2-3A8C-4389-BF3B-2D7FB2EF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42827</Words>
  <Characters>24412</Characters>
  <Application>Microsoft Office Word</Application>
  <DocSecurity>0</DocSecurity>
  <Lines>203</Lines>
  <Paragraphs>134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Valsts kanceleja</Company>
  <LinksUpToDate>false</LinksUpToDate>
  <CharactersWithSpaces>67105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plāna projektu "Publiskajā pārvaldē nodarbināto mācīšanās un attīstības plāns 2021.–2027. gadam"</dc:title>
  <dc:subject>Izziņa</dc:subject>
  <dc:creator>Erika Gromule</dc:creator>
  <cp:keywords/>
  <dc:description>67082987, erika.gromule@mk.gov.lv</dc:description>
  <cp:lastModifiedBy>Andra Voiciša</cp:lastModifiedBy>
  <cp:revision>6</cp:revision>
  <cp:lastPrinted>2009-04-08T09:39:00Z</cp:lastPrinted>
  <dcterms:created xsi:type="dcterms:W3CDTF">2021-05-28T09:11:00Z</dcterms:created>
  <dcterms:modified xsi:type="dcterms:W3CDTF">2021-06-04T12:07:00Z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ies>
</file>